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cs="黑体"/>
          <w:b/>
          <w:bCs/>
          <w:sz w:val="32"/>
          <w:szCs w:val="32"/>
        </w:rPr>
      </w:pPr>
      <w:r>
        <w:rPr>
          <w:rFonts w:hint="eastAsia" w:ascii="黑体" w:hAnsi="黑体" w:eastAsia="黑体" w:cs="黑体"/>
          <w:b/>
          <w:bCs/>
          <w:sz w:val="32"/>
          <w:szCs w:val="32"/>
        </w:rPr>
        <w:t>附件1：国家惠企纾困政策要点清单</w:t>
      </w:r>
      <w:bookmarkStart w:id="1" w:name="_GoBack"/>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27项</w:t>
      </w:r>
      <w:r>
        <w:rPr>
          <w:rFonts w:hint="eastAsia" w:ascii="黑体" w:hAnsi="黑体" w:eastAsia="黑体" w:cs="黑体"/>
          <w:b/>
          <w:bCs/>
          <w:sz w:val="32"/>
          <w:szCs w:val="32"/>
          <w:lang w:eastAsia="zh-CN"/>
        </w:rPr>
        <w:t>）</w:t>
      </w:r>
    </w:p>
    <w:bookmarkEnd w:id="1"/>
    <w:tbl>
      <w:tblPr>
        <w:tblStyle w:val="1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280"/>
        <w:gridCol w:w="120"/>
        <w:gridCol w:w="1307"/>
        <w:gridCol w:w="9216"/>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vAlign w:val="center"/>
          </w:tcPr>
          <w:p>
            <w:pPr>
              <w:jc w:val="center"/>
              <w:rPr>
                <w:rFonts w:ascii="仿宋" w:hAnsi="仿宋" w:eastAsia="仿宋" w:cs="仿宋"/>
                <w:b/>
                <w:bCs/>
                <w:sz w:val="22"/>
                <w:szCs w:val="22"/>
              </w:rPr>
            </w:pPr>
            <w:r>
              <w:rPr>
                <w:rFonts w:hint="eastAsia" w:ascii="仿宋" w:hAnsi="仿宋" w:eastAsia="仿宋" w:cs="仿宋"/>
                <w:b/>
                <w:bCs/>
                <w:sz w:val="22"/>
                <w:szCs w:val="22"/>
              </w:rPr>
              <w:t>序号</w:t>
            </w:r>
          </w:p>
        </w:tc>
        <w:tc>
          <w:tcPr>
            <w:tcW w:w="1280" w:type="dxa"/>
            <w:vAlign w:val="center"/>
          </w:tcPr>
          <w:p>
            <w:pPr>
              <w:jc w:val="center"/>
              <w:rPr>
                <w:rFonts w:ascii="仿宋" w:hAnsi="仿宋" w:eastAsia="仿宋" w:cs="仿宋"/>
                <w:b/>
                <w:bCs/>
                <w:sz w:val="22"/>
                <w:szCs w:val="22"/>
              </w:rPr>
            </w:pPr>
            <w:r>
              <w:rPr>
                <w:rFonts w:hint="eastAsia" w:ascii="仿宋" w:hAnsi="仿宋" w:eastAsia="仿宋" w:cs="仿宋"/>
                <w:b/>
                <w:bCs/>
                <w:sz w:val="22"/>
                <w:szCs w:val="22"/>
              </w:rPr>
              <w:t>政策来源</w:t>
            </w:r>
          </w:p>
        </w:tc>
        <w:tc>
          <w:tcPr>
            <w:tcW w:w="10643" w:type="dxa"/>
            <w:gridSpan w:val="3"/>
            <w:vAlign w:val="center"/>
          </w:tcPr>
          <w:p>
            <w:pPr>
              <w:jc w:val="center"/>
              <w:rPr>
                <w:rFonts w:ascii="仿宋" w:hAnsi="仿宋" w:eastAsia="仿宋" w:cs="仿宋"/>
                <w:b/>
                <w:bCs/>
                <w:sz w:val="22"/>
                <w:szCs w:val="22"/>
              </w:rPr>
            </w:pPr>
            <w:r>
              <w:rPr>
                <w:rFonts w:hint="eastAsia" w:ascii="仿宋" w:hAnsi="仿宋" w:eastAsia="仿宋" w:cs="仿宋"/>
                <w:b/>
                <w:bCs/>
                <w:sz w:val="22"/>
                <w:szCs w:val="22"/>
              </w:rPr>
              <w:t>政策内容</w:t>
            </w:r>
          </w:p>
        </w:tc>
        <w:tc>
          <w:tcPr>
            <w:tcW w:w="1729" w:type="dxa"/>
            <w:vAlign w:val="center"/>
          </w:tcPr>
          <w:p>
            <w:pPr>
              <w:jc w:val="center"/>
              <w:rPr>
                <w:rFonts w:ascii="仿宋" w:hAnsi="仿宋" w:eastAsia="仿宋" w:cs="仿宋"/>
                <w:b/>
                <w:bCs/>
                <w:sz w:val="22"/>
                <w:szCs w:val="22"/>
              </w:rPr>
            </w:pPr>
            <w:r>
              <w:rPr>
                <w:rFonts w:hint="eastAsia" w:ascii="仿宋" w:hAnsi="仿宋" w:eastAsia="仿宋" w:cs="仿宋"/>
                <w:b/>
                <w:bCs/>
                <w:sz w:val="22"/>
                <w:szCs w:val="22"/>
              </w:rPr>
              <w:t>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restart"/>
            <w:vAlign w:val="center"/>
          </w:tcPr>
          <w:p>
            <w:pPr>
              <w:jc w:val="center"/>
              <w:rPr>
                <w:rFonts w:ascii="仿宋" w:hAnsi="仿宋" w:eastAsia="仿宋" w:cs="仿宋"/>
                <w:b/>
                <w:bCs/>
                <w:sz w:val="22"/>
                <w:szCs w:val="22"/>
              </w:rPr>
            </w:pPr>
            <w:r>
              <w:rPr>
                <w:rFonts w:hint="eastAsia" w:ascii="仿宋" w:hAnsi="仿宋" w:eastAsia="仿宋" w:cs="仿宋"/>
                <w:b/>
                <w:bCs/>
                <w:sz w:val="22"/>
                <w:szCs w:val="22"/>
              </w:rPr>
              <w:t>《关于促进服务业领域困难行业恢复发展的若干政策》</w:t>
            </w:r>
          </w:p>
        </w:tc>
        <w:tc>
          <w:tcPr>
            <w:tcW w:w="1427" w:type="dxa"/>
            <w:gridSpan w:val="2"/>
            <w:vMerge w:val="restart"/>
            <w:vAlign w:val="center"/>
          </w:tcPr>
          <w:p>
            <w:pPr>
              <w:jc w:val="center"/>
              <w:rPr>
                <w:rFonts w:ascii="仿宋" w:hAnsi="仿宋" w:eastAsia="仿宋" w:cs="仿宋"/>
                <w:b/>
                <w:bCs/>
                <w:sz w:val="22"/>
                <w:szCs w:val="22"/>
              </w:rPr>
            </w:pPr>
            <w:r>
              <w:rPr>
                <w:rFonts w:ascii="仿宋" w:hAnsi="仿宋" w:eastAsia="仿宋" w:cs="仿宋"/>
                <w:sz w:val="22"/>
                <w:szCs w:val="22"/>
              </w:rPr>
              <w:t>服务业普惠性纾困扶持措施</w:t>
            </w:r>
          </w:p>
        </w:tc>
        <w:tc>
          <w:tcPr>
            <w:tcW w:w="9216" w:type="dxa"/>
            <w:vAlign w:val="center"/>
          </w:tcPr>
          <w:p>
            <w:pPr>
              <w:jc w:val="left"/>
              <w:rPr>
                <w:rFonts w:ascii="仿宋" w:hAnsi="仿宋" w:eastAsia="仿宋" w:cs="仿宋"/>
                <w:b/>
                <w:bCs/>
                <w:sz w:val="22"/>
                <w:szCs w:val="22"/>
              </w:rPr>
            </w:pPr>
            <w:r>
              <w:rPr>
                <w:rFonts w:ascii="仿宋" w:hAnsi="仿宋" w:eastAsia="仿宋" w:cs="仿宋"/>
                <w:sz w:val="22"/>
                <w:szCs w:val="22"/>
              </w:rPr>
              <w:t>1．延续服务业增值税加计抵减政策，2022年对</w:t>
            </w:r>
            <w:r>
              <w:rPr>
                <w:rFonts w:ascii="仿宋" w:hAnsi="仿宋" w:eastAsia="仿宋" w:cs="仿宋"/>
                <w:b/>
                <w:bCs/>
                <w:sz w:val="22"/>
                <w:szCs w:val="22"/>
              </w:rPr>
              <w:t>生产、生活性服务业纳税人</w:t>
            </w:r>
            <w:r>
              <w:rPr>
                <w:rFonts w:ascii="仿宋" w:hAnsi="仿宋" w:eastAsia="仿宋" w:cs="仿宋"/>
                <w:sz w:val="22"/>
                <w:szCs w:val="22"/>
              </w:rPr>
              <w:t>当期可抵扣进项税额继续分别按10%和15%加计抵减应纳税额。</w:t>
            </w:r>
          </w:p>
        </w:tc>
        <w:tc>
          <w:tcPr>
            <w:tcW w:w="1729" w:type="dxa"/>
            <w:vMerge w:val="restart"/>
            <w:vAlign w:val="center"/>
          </w:tcPr>
          <w:p>
            <w:pPr>
              <w:jc w:val="left"/>
              <w:rPr>
                <w:rFonts w:ascii="仿宋" w:hAnsi="仿宋" w:eastAsia="仿宋" w:cs="仿宋"/>
                <w:sz w:val="22"/>
                <w:szCs w:val="22"/>
              </w:rPr>
            </w:pPr>
            <w:r>
              <w:rPr>
                <w:rFonts w:hint="eastAsia" w:ascii="仿宋" w:hAnsi="仿宋" w:eastAsia="仿宋" w:cs="仿宋"/>
                <w:sz w:val="22"/>
                <w:szCs w:val="22"/>
              </w:rPr>
              <w:t>国家发展改革委</w:t>
            </w:r>
          </w:p>
          <w:p>
            <w:pPr>
              <w:jc w:val="left"/>
              <w:rPr>
                <w:rFonts w:ascii="仿宋" w:hAnsi="仿宋" w:eastAsia="仿宋" w:cs="仿宋"/>
                <w:sz w:val="22"/>
                <w:szCs w:val="22"/>
              </w:rPr>
            </w:pPr>
            <w:r>
              <w:rPr>
                <w:rFonts w:hint="eastAsia" w:ascii="仿宋" w:hAnsi="仿宋" w:eastAsia="仿宋" w:cs="仿宋"/>
                <w:sz w:val="22"/>
                <w:szCs w:val="22"/>
              </w:rPr>
              <w:t>财政部</w:t>
            </w:r>
          </w:p>
          <w:p>
            <w:pPr>
              <w:jc w:val="left"/>
              <w:rPr>
                <w:rFonts w:ascii="仿宋" w:hAnsi="仿宋" w:eastAsia="仿宋" w:cs="仿宋"/>
                <w:sz w:val="22"/>
                <w:szCs w:val="22"/>
              </w:rPr>
            </w:pPr>
            <w:r>
              <w:rPr>
                <w:rFonts w:hint="eastAsia" w:ascii="仿宋" w:hAnsi="仿宋" w:eastAsia="仿宋" w:cs="仿宋"/>
                <w:sz w:val="22"/>
                <w:szCs w:val="22"/>
              </w:rPr>
              <w:t>人力资源社会保障部</w:t>
            </w:r>
          </w:p>
          <w:p>
            <w:pPr>
              <w:jc w:val="left"/>
              <w:rPr>
                <w:rFonts w:ascii="仿宋" w:hAnsi="仿宋" w:eastAsia="仿宋" w:cs="仿宋"/>
                <w:sz w:val="22"/>
                <w:szCs w:val="22"/>
              </w:rPr>
            </w:pPr>
            <w:r>
              <w:rPr>
                <w:rFonts w:hint="eastAsia" w:ascii="仿宋" w:hAnsi="仿宋" w:eastAsia="仿宋" w:cs="仿宋"/>
                <w:sz w:val="22"/>
                <w:szCs w:val="22"/>
              </w:rPr>
              <w:t>住房城乡建设部</w:t>
            </w:r>
          </w:p>
          <w:p>
            <w:pPr>
              <w:jc w:val="left"/>
              <w:rPr>
                <w:rFonts w:ascii="仿宋" w:hAnsi="仿宋" w:eastAsia="仿宋" w:cs="仿宋"/>
                <w:sz w:val="22"/>
                <w:szCs w:val="22"/>
              </w:rPr>
            </w:pPr>
            <w:r>
              <w:rPr>
                <w:rFonts w:hint="eastAsia" w:ascii="仿宋" w:hAnsi="仿宋" w:eastAsia="仿宋" w:cs="仿宋"/>
                <w:sz w:val="22"/>
                <w:szCs w:val="22"/>
              </w:rPr>
              <w:t>交 通 运 输 部</w:t>
            </w:r>
          </w:p>
          <w:p>
            <w:pPr>
              <w:jc w:val="left"/>
              <w:rPr>
                <w:rFonts w:ascii="仿宋" w:hAnsi="仿宋" w:eastAsia="仿宋" w:cs="仿宋"/>
                <w:sz w:val="22"/>
                <w:szCs w:val="22"/>
              </w:rPr>
            </w:pPr>
            <w:r>
              <w:rPr>
                <w:rFonts w:hint="eastAsia" w:ascii="仿宋" w:hAnsi="仿宋" w:eastAsia="仿宋" w:cs="仿宋"/>
                <w:sz w:val="22"/>
                <w:szCs w:val="22"/>
              </w:rPr>
              <w:t>商务部</w:t>
            </w:r>
          </w:p>
          <w:p>
            <w:pPr>
              <w:jc w:val="left"/>
              <w:rPr>
                <w:rFonts w:ascii="仿宋" w:hAnsi="仿宋" w:eastAsia="仿宋" w:cs="仿宋"/>
                <w:sz w:val="22"/>
                <w:szCs w:val="22"/>
              </w:rPr>
            </w:pPr>
            <w:r>
              <w:rPr>
                <w:rFonts w:hint="eastAsia" w:ascii="仿宋" w:hAnsi="仿宋" w:eastAsia="仿宋" w:cs="仿宋"/>
                <w:sz w:val="22"/>
                <w:szCs w:val="22"/>
              </w:rPr>
              <w:t>文化和旅游部</w:t>
            </w:r>
          </w:p>
          <w:p>
            <w:pPr>
              <w:jc w:val="left"/>
              <w:rPr>
                <w:rFonts w:ascii="仿宋" w:hAnsi="仿宋" w:eastAsia="仿宋" w:cs="仿宋"/>
                <w:sz w:val="22"/>
                <w:szCs w:val="22"/>
              </w:rPr>
            </w:pPr>
            <w:r>
              <w:rPr>
                <w:rFonts w:hint="eastAsia" w:ascii="仿宋" w:hAnsi="仿宋" w:eastAsia="仿宋" w:cs="仿宋"/>
                <w:sz w:val="22"/>
                <w:szCs w:val="22"/>
              </w:rPr>
              <w:t>卫 生 健 康 委</w:t>
            </w:r>
          </w:p>
          <w:p>
            <w:pPr>
              <w:jc w:val="left"/>
              <w:rPr>
                <w:rFonts w:ascii="仿宋" w:hAnsi="仿宋" w:eastAsia="仿宋" w:cs="仿宋"/>
                <w:sz w:val="22"/>
                <w:szCs w:val="22"/>
              </w:rPr>
            </w:pPr>
            <w:r>
              <w:rPr>
                <w:rFonts w:hint="eastAsia" w:ascii="仿宋" w:hAnsi="仿宋" w:eastAsia="仿宋" w:cs="仿宋"/>
                <w:sz w:val="22"/>
                <w:szCs w:val="22"/>
              </w:rPr>
              <w:t>人民银行</w:t>
            </w:r>
          </w:p>
          <w:p>
            <w:pPr>
              <w:jc w:val="left"/>
              <w:rPr>
                <w:rFonts w:ascii="仿宋" w:hAnsi="仿宋" w:eastAsia="仿宋" w:cs="仿宋"/>
                <w:sz w:val="22"/>
                <w:szCs w:val="22"/>
              </w:rPr>
            </w:pPr>
            <w:r>
              <w:rPr>
                <w:rFonts w:hint="eastAsia" w:ascii="仿宋" w:hAnsi="仿宋" w:eastAsia="仿宋" w:cs="仿宋"/>
                <w:sz w:val="22"/>
                <w:szCs w:val="22"/>
              </w:rPr>
              <w:t>国务院国资委</w:t>
            </w:r>
          </w:p>
          <w:p>
            <w:pPr>
              <w:jc w:val="left"/>
              <w:rPr>
                <w:rFonts w:ascii="仿宋" w:hAnsi="仿宋" w:eastAsia="仿宋" w:cs="仿宋"/>
                <w:sz w:val="22"/>
                <w:szCs w:val="22"/>
              </w:rPr>
            </w:pPr>
            <w:r>
              <w:rPr>
                <w:rFonts w:hint="eastAsia" w:ascii="仿宋" w:hAnsi="仿宋" w:eastAsia="仿宋" w:cs="仿宋"/>
                <w:sz w:val="22"/>
                <w:szCs w:val="22"/>
              </w:rPr>
              <w:t>税务总局</w:t>
            </w:r>
          </w:p>
          <w:p>
            <w:pPr>
              <w:jc w:val="left"/>
              <w:rPr>
                <w:rFonts w:ascii="仿宋" w:hAnsi="仿宋" w:eastAsia="仿宋" w:cs="仿宋"/>
                <w:sz w:val="22"/>
                <w:szCs w:val="22"/>
              </w:rPr>
            </w:pPr>
            <w:r>
              <w:rPr>
                <w:rFonts w:hint="eastAsia" w:ascii="仿宋" w:hAnsi="仿宋" w:eastAsia="仿宋" w:cs="仿宋"/>
                <w:sz w:val="22"/>
                <w:szCs w:val="22"/>
              </w:rPr>
              <w:t>市场监管总局</w:t>
            </w:r>
          </w:p>
          <w:p>
            <w:pPr>
              <w:jc w:val="left"/>
              <w:rPr>
                <w:rFonts w:ascii="仿宋" w:hAnsi="仿宋" w:eastAsia="仿宋" w:cs="仿宋"/>
                <w:sz w:val="22"/>
                <w:szCs w:val="22"/>
              </w:rPr>
            </w:pPr>
            <w:r>
              <w:rPr>
                <w:rFonts w:hint="eastAsia" w:ascii="仿宋" w:hAnsi="仿宋" w:eastAsia="仿宋" w:cs="仿宋"/>
                <w:sz w:val="22"/>
                <w:szCs w:val="22"/>
              </w:rPr>
              <w:t>银保监会</w:t>
            </w:r>
          </w:p>
          <w:p>
            <w:pPr>
              <w:jc w:val="left"/>
              <w:rPr>
                <w:rFonts w:ascii="仿宋" w:hAnsi="仿宋" w:eastAsia="仿宋" w:cs="仿宋"/>
                <w:sz w:val="22"/>
                <w:szCs w:val="22"/>
              </w:rPr>
            </w:pPr>
            <w:r>
              <w:rPr>
                <w:rFonts w:hint="eastAsia" w:ascii="仿宋" w:hAnsi="仿宋" w:eastAsia="仿宋" w:cs="仿宋"/>
                <w:sz w:val="22"/>
                <w:szCs w:val="22"/>
              </w:rPr>
              <w:t>民航局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Merge w:val="continue"/>
            <w:vAlign w:val="center"/>
          </w:tcPr>
          <w:p>
            <w:pPr>
              <w:jc w:val="center"/>
              <w:rPr>
                <w:rFonts w:ascii="仿宋" w:hAnsi="仿宋" w:eastAsia="仿宋" w:cs="仿宋"/>
                <w:b/>
                <w:bCs/>
                <w:sz w:val="22"/>
                <w:szCs w:val="22"/>
              </w:rPr>
            </w:pPr>
          </w:p>
        </w:tc>
        <w:tc>
          <w:tcPr>
            <w:tcW w:w="9216" w:type="dxa"/>
            <w:vAlign w:val="center"/>
          </w:tcPr>
          <w:p>
            <w:pPr>
              <w:jc w:val="left"/>
              <w:rPr>
                <w:rFonts w:ascii="仿宋" w:hAnsi="仿宋" w:eastAsia="仿宋" w:cs="仿宋"/>
                <w:b/>
                <w:bCs/>
                <w:sz w:val="22"/>
                <w:szCs w:val="22"/>
              </w:rPr>
            </w:pPr>
            <w:r>
              <w:rPr>
                <w:rFonts w:ascii="仿宋" w:hAnsi="仿宋" w:eastAsia="仿宋" w:cs="仿宋"/>
                <w:sz w:val="22"/>
                <w:szCs w:val="22"/>
              </w:rPr>
              <w:t>2．2022年加大</w:t>
            </w:r>
            <w:r>
              <w:rPr>
                <w:rFonts w:ascii="仿宋" w:hAnsi="仿宋" w:eastAsia="仿宋" w:cs="仿宋"/>
                <w:b/>
                <w:bCs/>
                <w:sz w:val="22"/>
                <w:szCs w:val="22"/>
              </w:rPr>
              <w:t>中小微企业</w:t>
            </w:r>
            <w:r>
              <w:rPr>
                <w:rFonts w:ascii="仿宋" w:hAnsi="仿宋" w:eastAsia="仿宋" w:cs="仿宋"/>
                <w:sz w:val="22"/>
                <w:szCs w:val="22"/>
              </w:rPr>
              <w:t>设备器具税前扣除力度。中小微企业2022 年度内新购置的单位价值500万元以上的设备器具，折旧年限为3年的可选择一次性税前扣除，折旧年限为4年、5年、10年的可减半扣除。企业可按季度享受优惠，当年不足扣除形成的亏损，可在以后5个纳税年度结转扣除。符合条件的</w:t>
            </w:r>
            <w:r>
              <w:rPr>
                <w:rFonts w:ascii="仿宋" w:hAnsi="仿宋" w:eastAsia="仿宋" w:cs="仿宋"/>
                <w:b/>
                <w:bCs/>
                <w:sz w:val="22"/>
                <w:szCs w:val="22"/>
              </w:rPr>
              <w:t>服务业市场主体</w:t>
            </w:r>
            <w:r>
              <w:rPr>
                <w:rFonts w:ascii="仿宋" w:hAnsi="仿宋" w:eastAsia="仿宋" w:cs="仿宋"/>
                <w:sz w:val="22"/>
                <w:szCs w:val="22"/>
              </w:rPr>
              <w:t>可以享受。</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Merge w:val="continue"/>
            <w:vAlign w:val="center"/>
          </w:tcPr>
          <w:p>
            <w:pPr>
              <w:jc w:val="center"/>
              <w:rPr>
                <w:rFonts w:ascii="仿宋" w:hAnsi="仿宋" w:eastAsia="仿宋" w:cs="仿宋"/>
                <w:b/>
                <w:bCs/>
                <w:sz w:val="22"/>
                <w:szCs w:val="22"/>
              </w:rPr>
            </w:pPr>
          </w:p>
        </w:tc>
        <w:tc>
          <w:tcPr>
            <w:tcW w:w="9216" w:type="dxa"/>
            <w:vAlign w:val="center"/>
          </w:tcPr>
          <w:p>
            <w:pPr>
              <w:jc w:val="left"/>
              <w:rPr>
                <w:rFonts w:ascii="仿宋" w:hAnsi="仿宋" w:eastAsia="仿宋" w:cs="仿宋"/>
                <w:b/>
                <w:bCs/>
                <w:sz w:val="22"/>
                <w:szCs w:val="22"/>
              </w:rPr>
            </w:pPr>
            <w:r>
              <w:rPr>
                <w:rFonts w:ascii="仿宋" w:hAnsi="仿宋" w:eastAsia="仿宋" w:cs="仿宋"/>
                <w:sz w:val="22"/>
                <w:szCs w:val="22"/>
              </w:rPr>
              <w:t>3．2022年延续实施阶段性降低失业保险、工伤保险费率政策。对</w:t>
            </w:r>
            <w:r>
              <w:rPr>
                <w:rFonts w:ascii="仿宋" w:hAnsi="仿宋" w:eastAsia="仿宋" w:cs="仿宋"/>
                <w:b/>
                <w:bCs/>
                <w:sz w:val="22"/>
                <w:szCs w:val="22"/>
              </w:rPr>
              <w:t>不裁员、少裁员的企业</w:t>
            </w:r>
            <w:r>
              <w:rPr>
                <w:rFonts w:ascii="仿宋" w:hAnsi="仿宋" w:eastAsia="仿宋" w:cs="仿宋"/>
                <w:sz w:val="22"/>
                <w:szCs w:val="22"/>
              </w:rPr>
              <w:t>继续实施普惠性失业保险稳岗返还政策，在2022年度将</w:t>
            </w:r>
            <w:r>
              <w:rPr>
                <w:rFonts w:ascii="仿宋" w:hAnsi="仿宋" w:eastAsia="仿宋" w:cs="仿宋"/>
                <w:b/>
                <w:bCs/>
                <w:sz w:val="22"/>
                <w:szCs w:val="22"/>
              </w:rPr>
              <w:t>中小微企业</w:t>
            </w:r>
            <w:r>
              <w:rPr>
                <w:rFonts w:ascii="仿宋" w:hAnsi="仿宋" w:eastAsia="仿宋" w:cs="仿宋"/>
                <w:sz w:val="22"/>
                <w:szCs w:val="22"/>
              </w:rPr>
              <w:t>返还比例从60%最高提至90%。符合条件的服务业市场主体可以享受。</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Merge w:val="continue"/>
            <w:vAlign w:val="center"/>
          </w:tcPr>
          <w:p>
            <w:pPr>
              <w:jc w:val="center"/>
              <w:rPr>
                <w:rFonts w:ascii="仿宋" w:hAnsi="仿宋" w:eastAsia="仿宋" w:cs="仿宋"/>
                <w:b/>
                <w:bCs/>
                <w:sz w:val="22"/>
                <w:szCs w:val="22"/>
              </w:rPr>
            </w:pPr>
          </w:p>
        </w:tc>
        <w:tc>
          <w:tcPr>
            <w:tcW w:w="9216" w:type="dxa"/>
            <w:vAlign w:val="center"/>
          </w:tcPr>
          <w:p>
            <w:pPr>
              <w:jc w:val="left"/>
              <w:rPr>
                <w:rFonts w:ascii="仿宋" w:hAnsi="仿宋" w:eastAsia="仿宋" w:cs="仿宋"/>
                <w:b/>
                <w:bCs/>
                <w:sz w:val="22"/>
                <w:szCs w:val="22"/>
              </w:rPr>
            </w:pPr>
            <w:r>
              <w:rPr>
                <w:rFonts w:ascii="仿宋" w:hAnsi="仿宋" w:eastAsia="仿宋" w:cs="仿宋"/>
                <w:sz w:val="22"/>
                <w:szCs w:val="22"/>
              </w:rPr>
              <w:t>4．2022年被列为疫情中高风险地区所在的县级行政区域内的</w:t>
            </w:r>
            <w:r>
              <w:rPr>
                <w:rFonts w:ascii="仿宋" w:hAnsi="仿宋" w:eastAsia="仿宋" w:cs="仿宋"/>
                <w:b/>
                <w:bCs/>
                <w:sz w:val="22"/>
                <w:szCs w:val="22"/>
              </w:rPr>
              <w:t>服务业小微企业和个体工商户</w:t>
            </w:r>
            <w:r>
              <w:rPr>
                <w:rFonts w:ascii="仿宋" w:hAnsi="仿宋" w:eastAsia="仿宋" w:cs="仿宋"/>
                <w:sz w:val="22"/>
                <w:szCs w:val="22"/>
              </w:rPr>
              <w:t>承租国有房屋，2022年减免6个月租金，其他地区减免 3个月租金。各地可统筹各类资金，对承租非国有房屋的</w:t>
            </w:r>
            <w:r>
              <w:rPr>
                <w:rFonts w:ascii="仿宋" w:hAnsi="仿宋" w:eastAsia="仿宋" w:cs="仿宋"/>
                <w:b/>
                <w:bCs/>
                <w:sz w:val="22"/>
                <w:szCs w:val="22"/>
              </w:rPr>
              <w:t>服务业小微企业和个体工商户</w:t>
            </w:r>
            <w:r>
              <w:rPr>
                <w:rFonts w:ascii="仿宋" w:hAnsi="仿宋" w:eastAsia="仿宋" w:cs="仿宋"/>
                <w:sz w:val="22"/>
                <w:szCs w:val="22"/>
              </w:rPr>
              <w:t>给予适当帮扶。鼓励非国有房屋租赁主体在平等协商的基础上合理分担疫情带来的损失。对减免租金的房屋业主，2022年缴纳房产税、城镇土地使用税确有困难的，鼓励各地可根据条例授权和地方实际给予减免。因减免租金影响国有企事业单位业绩的，在考核中根据实际情况予以认可。</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Merge w:val="continue"/>
            <w:vAlign w:val="center"/>
          </w:tcPr>
          <w:p>
            <w:pPr>
              <w:widowControl/>
              <w:spacing w:before="100" w:beforeAutospacing="1" w:after="100" w:afterAutospacing="1"/>
              <w:rPr>
                <w:rFonts w:ascii="仿宋" w:hAnsi="仿宋" w:eastAsia="仿宋" w:cs="仿宋"/>
                <w:sz w:val="22"/>
                <w:szCs w:val="22"/>
              </w:rPr>
            </w:pP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5．2022年发挥好支持普惠小微的市场化工具引导作用，对地方法人银行普惠小微贷款余额增量的1%提供激励资金，用好4000亿元再贷款滚动额度，引导金融机构加大对困难行业特别是</w:t>
            </w:r>
            <w:r>
              <w:rPr>
                <w:rFonts w:ascii="仿宋" w:hAnsi="仿宋" w:eastAsia="仿宋" w:cs="仿宋"/>
                <w:b/>
                <w:bCs/>
                <w:sz w:val="22"/>
                <w:szCs w:val="22"/>
              </w:rPr>
              <w:t>服务业领域</w:t>
            </w:r>
            <w:r>
              <w:rPr>
                <w:rFonts w:ascii="仿宋" w:hAnsi="仿宋" w:eastAsia="仿宋" w:cs="仿宋"/>
                <w:sz w:val="22"/>
                <w:szCs w:val="22"/>
              </w:rPr>
              <w:t>的倾斜力度。鼓励金融机构对符合续贷条件的</w:t>
            </w:r>
            <w:r>
              <w:rPr>
                <w:rFonts w:ascii="仿宋" w:hAnsi="仿宋" w:eastAsia="仿宋" w:cs="仿宋"/>
                <w:b/>
                <w:bCs/>
                <w:sz w:val="22"/>
                <w:szCs w:val="22"/>
              </w:rPr>
              <w:t>服务业市场主体</w:t>
            </w:r>
            <w:r>
              <w:rPr>
                <w:rFonts w:ascii="仿宋" w:hAnsi="仿宋" w:eastAsia="仿宋" w:cs="仿宋"/>
                <w:sz w:val="22"/>
                <w:szCs w:val="22"/>
              </w:rPr>
              <w:t>按正常续贷业务办理，不得盲目惜贷、抽贷、断贷、压贷，保持合理流动性。</w:t>
            </w:r>
          </w:p>
        </w:tc>
        <w:tc>
          <w:tcPr>
            <w:tcW w:w="1729" w:type="dxa"/>
            <w:vMerge w:val="continue"/>
            <w:vAlign w:val="center"/>
          </w:tcPr>
          <w:p>
            <w:pPr>
              <w:jc w:val="left"/>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Merge w:val="restart"/>
            <w:vAlign w:val="center"/>
          </w:tcPr>
          <w:p>
            <w:pPr>
              <w:widowControl/>
              <w:spacing w:before="100" w:beforeAutospacing="1" w:after="100" w:afterAutospacing="1"/>
              <w:rPr>
                <w:rFonts w:ascii="仿宋" w:hAnsi="仿宋" w:eastAsia="仿宋" w:cs="仿宋"/>
                <w:sz w:val="22"/>
                <w:szCs w:val="22"/>
              </w:rPr>
            </w:pPr>
            <w:r>
              <w:rPr>
                <w:rFonts w:ascii="仿宋" w:hAnsi="仿宋" w:eastAsia="仿宋" w:cs="仿宋"/>
                <w:sz w:val="22"/>
                <w:szCs w:val="22"/>
              </w:rPr>
              <w:t>餐饮业纾困扶持措施</w:t>
            </w: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6．鼓励有条件的地方对</w:t>
            </w:r>
            <w:r>
              <w:rPr>
                <w:rFonts w:ascii="仿宋" w:hAnsi="仿宋" w:eastAsia="仿宋" w:cs="仿宋"/>
                <w:b/>
                <w:bCs/>
                <w:sz w:val="22"/>
                <w:szCs w:val="22"/>
              </w:rPr>
              <w:t>餐饮企业</w:t>
            </w:r>
            <w:r>
              <w:rPr>
                <w:rFonts w:ascii="仿宋" w:hAnsi="仿宋" w:eastAsia="仿宋" w:cs="仿宋"/>
                <w:sz w:val="22"/>
                <w:szCs w:val="22"/>
              </w:rPr>
              <w:t>免费开展员工定期核酸检测，对企业防疫、消杀支出给予补贴支持。2022年原则上应给予餐饮企业员工定期核酸检测不低于50%比例的补贴支持。</w:t>
            </w:r>
          </w:p>
        </w:tc>
        <w:tc>
          <w:tcPr>
            <w:tcW w:w="1729" w:type="dxa"/>
            <w:vMerge w:val="continue"/>
            <w:vAlign w:val="center"/>
          </w:tcPr>
          <w:p>
            <w:pPr>
              <w:jc w:val="left"/>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Merge w:val="continue"/>
            <w:vAlign w:val="center"/>
          </w:tcPr>
          <w:p>
            <w:pPr>
              <w:widowControl/>
              <w:spacing w:before="100" w:beforeAutospacing="1" w:after="100" w:afterAutospacing="1"/>
              <w:rPr>
                <w:rFonts w:ascii="仿宋" w:hAnsi="仿宋" w:eastAsia="仿宋" w:cs="仿宋"/>
                <w:b/>
                <w:bCs/>
                <w:sz w:val="22"/>
                <w:szCs w:val="22"/>
              </w:rPr>
            </w:pP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7．引导外卖等互联网平台企业进一步下调</w:t>
            </w:r>
            <w:r>
              <w:rPr>
                <w:rFonts w:ascii="仿宋" w:hAnsi="仿宋" w:eastAsia="仿宋" w:cs="仿宋"/>
                <w:b/>
                <w:bCs/>
                <w:sz w:val="22"/>
                <w:szCs w:val="22"/>
              </w:rPr>
              <w:t>餐饮业商户</w:t>
            </w:r>
            <w:r>
              <w:rPr>
                <w:rFonts w:ascii="仿宋" w:hAnsi="仿宋" w:eastAsia="仿宋" w:cs="仿宋"/>
                <w:sz w:val="22"/>
                <w:szCs w:val="22"/>
              </w:rPr>
              <w:t>服务费标准，降低相关餐饮企业经营成本。引导互联网平台企业对疫情中高风险地区所在的县级行政区域内的</w:t>
            </w:r>
            <w:r>
              <w:rPr>
                <w:rFonts w:ascii="仿宋" w:hAnsi="仿宋" w:eastAsia="仿宋" w:cs="仿宋"/>
                <w:b/>
                <w:bCs/>
                <w:sz w:val="22"/>
                <w:szCs w:val="22"/>
              </w:rPr>
              <w:t>餐饮企业</w:t>
            </w:r>
            <w:r>
              <w:rPr>
                <w:rFonts w:ascii="仿宋" w:hAnsi="仿宋" w:eastAsia="仿宋" w:cs="仿宋"/>
                <w:sz w:val="22"/>
                <w:szCs w:val="22"/>
              </w:rPr>
              <w:t>，给予阶段性商户服务费优惠。</w:t>
            </w:r>
          </w:p>
        </w:tc>
        <w:tc>
          <w:tcPr>
            <w:tcW w:w="1729" w:type="dxa"/>
            <w:vMerge w:val="continue"/>
            <w:vAlign w:val="center"/>
          </w:tcPr>
          <w:p>
            <w:pPr>
              <w:jc w:val="left"/>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Align w:val="center"/>
          </w:tcPr>
          <w:p>
            <w:pPr>
              <w:widowControl/>
              <w:spacing w:before="100" w:beforeAutospacing="1" w:after="100" w:afterAutospacing="1"/>
              <w:rPr>
                <w:rFonts w:ascii="仿宋" w:hAnsi="仿宋" w:eastAsia="仿宋" w:cs="仿宋"/>
                <w:sz w:val="22"/>
                <w:szCs w:val="22"/>
              </w:rPr>
            </w:pPr>
            <w:r>
              <w:rPr>
                <w:rFonts w:ascii="仿宋" w:hAnsi="仿宋" w:eastAsia="仿宋" w:cs="仿宋"/>
                <w:sz w:val="22"/>
                <w:szCs w:val="22"/>
              </w:rPr>
              <w:t>零售业纾困扶持措施</w:t>
            </w:r>
          </w:p>
        </w:tc>
        <w:tc>
          <w:tcPr>
            <w:tcW w:w="9216" w:type="dxa"/>
            <w:vAlign w:val="center"/>
          </w:tcPr>
          <w:p>
            <w:pPr>
              <w:jc w:val="left"/>
              <w:rPr>
                <w:rFonts w:ascii="仿宋" w:hAnsi="仿宋" w:eastAsia="仿宋" w:cs="仿宋"/>
                <w:sz w:val="22"/>
                <w:szCs w:val="22"/>
              </w:rPr>
            </w:pPr>
            <w:r>
              <w:rPr>
                <w:rFonts w:hint="eastAsia" w:ascii="仿宋" w:hAnsi="仿宋" w:eastAsia="仿宋" w:cs="仿宋"/>
                <w:sz w:val="22"/>
                <w:szCs w:val="22"/>
                <w:lang w:val="en-US" w:eastAsia="zh-CN"/>
              </w:rPr>
              <w:t>8</w:t>
            </w:r>
            <w:r>
              <w:rPr>
                <w:rFonts w:ascii="仿宋" w:hAnsi="仿宋" w:eastAsia="仿宋" w:cs="仿宋"/>
                <w:sz w:val="22"/>
                <w:szCs w:val="22"/>
              </w:rPr>
              <w:t>．鼓励有条件的地方对</w:t>
            </w:r>
            <w:r>
              <w:rPr>
                <w:rFonts w:ascii="仿宋" w:hAnsi="仿宋" w:eastAsia="仿宋" w:cs="仿宋"/>
                <w:b/>
                <w:bCs/>
                <w:sz w:val="22"/>
                <w:szCs w:val="22"/>
              </w:rPr>
              <w:t>零售企业</w:t>
            </w:r>
            <w:r>
              <w:rPr>
                <w:rFonts w:ascii="仿宋" w:hAnsi="仿宋" w:eastAsia="仿宋" w:cs="仿宋"/>
                <w:sz w:val="22"/>
                <w:szCs w:val="22"/>
              </w:rPr>
              <w:t>免费开展员工定期核酸检测，对企业防疫、消杀支出给予补贴支持。2022年原则上应给予零售企业员工定期核酸检测不低于 50%比例的补贴支持。</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Align w:val="center"/>
          </w:tcPr>
          <w:p>
            <w:pPr>
              <w:widowControl/>
              <w:spacing w:before="100" w:beforeAutospacing="1" w:after="100" w:afterAutospacing="1"/>
              <w:rPr>
                <w:rFonts w:ascii="仿宋" w:hAnsi="仿宋" w:eastAsia="仿宋" w:cs="仿宋"/>
                <w:sz w:val="22"/>
                <w:szCs w:val="22"/>
              </w:rPr>
            </w:pPr>
            <w:r>
              <w:rPr>
                <w:rFonts w:ascii="仿宋" w:hAnsi="仿宋" w:eastAsia="仿宋" w:cs="仿宋"/>
                <w:sz w:val="22"/>
                <w:szCs w:val="22"/>
              </w:rPr>
              <w:t>旅游业纾困扶持措施</w:t>
            </w:r>
          </w:p>
        </w:tc>
        <w:tc>
          <w:tcPr>
            <w:tcW w:w="9216" w:type="dxa"/>
            <w:vAlign w:val="center"/>
          </w:tcPr>
          <w:p>
            <w:pPr>
              <w:jc w:val="left"/>
              <w:rPr>
                <w:rFonts w:ascii="仿宋" w:hAnsi="仿宋" w:eastAsia="仿宋" w:cs="仿宋"/>
                <w:sz w:val="22"/>
                <w:szCs w:val="22"/>
              </w:rPr>
            </w:pPr>
            <w:r>
              <w:rPr>
                <w:rFonts w:hint="eastAsia" w:ascii="仿宋" w:hAnsi="仿宋" w:eastAsia="仿宋" w:cs="仿宋"/>
                <w:sz w:val="22"/>
                <w:szCs w:val="22"/>
                <w:lang w:val="en-US" w:eastAsia="zh-CN"/>
              </w:rPr>
              <w:t>9</w:t>
            </w:r>
            <w:r>
              <w:rPr>
                <w:rFonts w:ascii="仿宋" w:hAnsi="仿宋" w:eastAsia="仿宋" w:cs="仿宋"/>
                <w:sz w:val="22"/>
                <w:szCs w:val="22"/>
              </w:rPr>
              <w:t>．2022年继续实施</w:t>
            </w:r>
            <w:r>
              <w:rPr>
                <w:rFonts w:ascii="仿宋" w:hAnsi="仿宋" w:eastAsia="仿宋" w:cs="仿宋"/>
                <w:b/>
                <w:bCs/>
                <w:sz w:val="22"/>
                <w:szCs w:val="22"/>
              </w:rPr>
              <w:t>旅行社</w:t>
            </w:r>
            <w:r>
              <w:rPr>
                <w:rFonts w:ascii="仿宋" w:hAnsi="仿宋" w:eastAsia="仿宋" w:cs="仿宋"/>
                <w:sz w:val="22"/>
                <w:szCs w:val="22"/>
              </w:rPr>
              <w:t>暂退旅游服务质量保证金扶持政策，对符合条件的旅行社维持80%的暂退比例，鼓励有条件的地方进一步提高暂退比例。同时，加快推进保险代替保证金试点工作，扩大保险代替保证金试点范围。</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Align w:val="center"/>
          </w:tcPr>
          <w:p>
            <w:pPr>
              <w:widowControl/>
              <w:spacing w:before="100" w:beforeAutospacing="1" w:after="100" w:afterAutospacing="1"/>
              <w:rPr>
                <w:rFonts w:ascii="仿宋" w:hAnsi="仿宋" w:eastAsia="仿宋" w:cs="仿宋"/>
                <w:sz w:val="22"/>
                <w:szCs w:val="22"/>
              </w:rPr>
            </w:pPr>
            <w:r>
              <w:rPr>
                <w:rFonts w:ascii="仿宋" w:hAnsi="仿宋" w:eastAsia="仿宋" w:cs="仿宋"/>
                <w:sz w:val="22"/>
                <w:szCs w:val="22"/>
              </w:rPr>
              <w:t>公路水路铁路运输业纾困扶持措施</w:t>
            </w: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1</w:t>
            </w:r>
            <w:r>
              <w:rPr>
                <w:rFonts w:hint="eastAsia" w:ascii="仿宋" w:hAnsi="仿宋" w:eastAsia="仿宋" w:cs="仿宋"/>
                <w:sz w:val="22"/>
                <w:szCs w:val="22"/>
                <w:lang w:val="en-US" w:eastAsia="zh-CN"/>
              </w:rPr>
              <w:t>0</w:t>
            </w:r>
            <w:r>
              <w:rPr>
                <w:rFonts w:ascii="仿宋" w:hAnsi="仿宋" w:eastAsia="仿宋" w:cs="仿宋"/>
                <w:sz w:val="22"/>
                <w:szCs w:val="22"/>
              </w:rPr>
              <w:t>．2022年免征轮客渡、公交客运、地铁、城市轻轨、出租车、长途客运、班车等</w:t>
            </w:r>
            <w:r>
              <w:rPr>
                <w:rFonts w:ascii="仿宋" w:hAnsi="仿宋" w:eastAsia="仿宋" w:cs="仿宋"/>
                <w:b/>
                <w:bCs/>
                <w:sz w:val="22"/>
                <w:szCs w:val="22"/>
              </w:rPr>
              <w:t>公共交通运输</w:t>
            </w:r>
            <w:r>
              <w:rPr>
                <w:rFonts w:ascii="仿宋" w:hAnsi="仿宋" w:eastAsia="仿宋" w:cs="仿宋"/>
                <w:sz w:val="22"/>
                <w:szCs w:val="22"/>
              </w:rPr>
              <w:t>服务增值税。</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Align w:val="center"/>
          </w:tcPr>
          <w:p>
            <w:pPr>
              <w:widowControl/>
              <w:spacing w:before="100" w:beforeAutospacing="1" w:after="100" w:afterAutospacing="1"/>
              <w:rPr>
                <w:rFonts w:ascii="仿宋" w:hAnsi="仿宋" w:eastAsia="仿宋" w:cs="仿宋"/>
                <w:sz w:val="22"/>
                <w:szCs w:val="22"/>
              </w:rPr>
            </w:pPr>
            <w:r>
              <w:rPr>
                <w:rFonts w:ascii="仿宋" w:hAnsi="仿宋" w:eastAsia="仿宋" w:cs="仿宋"/>
                <w:sz w:val="22"/>
                <w:szCs w:val="22"/>
              </w:rPr>
              <w:t>民航业纾困扶持措施</w:t>
            </w: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1</w:t>
            </w:r>
            <w:r>
              <w:rPr>
                <w:rFonts w:hint="eastAsia" w:ascii="仿宋" w:hAnsi="仿宋" w:eastAsia="仿宋" w:cs="仿宋"/>
                <w:sz w:val="22"/>
                <w:szCs w:val="22"/>
                <w:lang w:val="en-US" w:eastAsia="zh-CN"/>
              </w:rPr>
              <w:t>1</w:t>
            </w:r>
            <w:r>
              <w:rPr>
                <w:rFonts w:ascii="仿宋" w:hAnsi="仿宋" w:eastAsia="仿宋" w:cs="仿宋"/>
                <w:sz w:val="22"/>
                <w:szCs w:val="22"/>
              </w:rPr>
              <w:t>．2022年暂停</w:t>
            </w:r>
            <w:r>
              <w:rPr>
                <w:rFonts w:ascii="仿宋" w:hAnsi="仿宋" w:eastAsia="仿宋" w:cs="仿宋"/>
                <w:b/>
                <w:bCs/>
                <w:sz w:val="22"/>
                <w:szCs w:val="22"/>
              </w:rPr>
              <w:t>航空运输企业</w:t>
            </w:r>
            <w:r>
              <w:rPr>
                <w:rFonts w:ascii="仿宋" w:hAnsi="仿宋" w:eastAsia="仿宋" w:cs="仿宋"/>
                <w:sz w:val="22"/>
                <w:szCs w:val="22"/>
              </w:rPr>
              <w:t>预缴增值税一年。</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restart"/>
            <w:vAlign w:val="center"/>
          </w:tcPr>
          <w:p>
            <w:pPr>
              <w:jc w:val="center"/>
              <w:rPr>
                <w:rFonts w:ascii="仿宋" w:hAnsi="仿宋" w:eastAsia="仿宋" w:cs="仿宋"/>
                <w:b/>
                <w:bCs/>
                <w:sz w:val="22"/>
                <w:szCs w:val="22"/>
              </w:rPr>
            </w:pPr>
            <w:r>
              <w:rPr>
                <w:rFonts w:hint="eastAsia" w:ascii="仿宋" w:hAnsi="仿宋" w:eastAsia="仿宋" w:cs="仿宋"/>
                <w:b/>
                <w:bCs/>
                <w:sz w:val="22"/>
                <w:szCs w:val="22"/>
              </w:rPr>
              <w:t>《促进工业经济平稳增长的若干政策》</w:t>
            </w:r>
          </w:p>
        </w:tc>
        <w:tc>
          <w:tcPr>
            <w:tcW w:w="1427" w:type="dxa"/>
            <w:gridSpan w:val="2"/>
            <w:vMerge w:val="restart"/>
            <w:vAlign w:val="center"/>
          </w:tcPr>
          <w:p>
            <w:pPr>
              <w:widowControl/>
              <w:spacing w:before="100" w:beforeAutospacing="1" w:after="100" w:afterAutospacing="1"/>
              <w:rPr>
                <w:rFonts w:ascii="仿宋" w:hAnsi="仿宋" w:eastAsia="仿宋" w:cs="仿宋"/>
                <w:sz w:val="22"/>
                <w:szCs w:val="22"/>
              </w:rPr>
            </w:pPr>
            <w:r>
              <w:rPr>
                <w:rFonts w:hint="eastAsia" w:ascii="仿宋" w:hAnsi="仿宋" w:eastAsia="仿宋" w:cs="仿宋"/>
                <w:sz w:val="22"/>
                <w:szCs w:val="22"/>
              </w:rPr>
              <w:t>财政税费政策</w:t>
            </w:r>
          </w:p>
        </w:tc>
        <w:tc>
          <w:tcPr>
            <w:tcW w:w="9216" w:type="dxa"/>
            <w:vAlign w:val="center"/>
          </w:tcPr>
          <w:p>
            <w:pPr>
              <w:jc w:val="left"/>
              <w:rPr>
                <w:rFonts w:ascii="仿宋" w:hAnsi="仿宋" w:eastAsia="仿宋" w:cs="仿宋"/>
                <w:sz w:val="22"/>
                <w:szCs w:val="22"/>
              </w:rPr>
            </w:pPr>
            <w:r>
              <w:rPr>
                <w:rFonts w:hint="eastAsia" w:ascii="仿宋" w:hAnsi="仿宋" w:eastAsia="仿宋" w:cs="仿宋"/>
                <w:sz w:val="22"/>
                <w:szCs w:val="22"/>
              </w:rPr>
              <w:t>1.加大</w:t>
            </w:r>
            <w:r>
              <w:rPr>
                <w:rFonts w:hint="eastAsia" w:ascii="仿宋" w:hAnsi="仿宋" w:eastAsia="仿宋" w:cs="仿宋"/>
                <w:b/>
                <w:bCs/>
                <w:sz w:val="22"/>
                <w:szCs w:val="22"/>
              </w:rPr>
              <w:t>中小微企业</w:t>
            </w:r>
            <w:r>
              <w:rPr>
                <w:rFonts w:hint="eastAsia" w:ascii="仿宋" w:hAnsi="仿宋" w:eastAsia="仿宋" w:cs="仿宋"/>
                <w:sz w:val="22"/>
                <w:szCs w:val="22"/>
              </w:rPr>
              <w:t>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w:t>
            </w:r>
            <w:r>
              <w:rPr>
                <w:rFonts w:hint="eastAsia" w:ascii="仿宋" w:hAnsi="仿宋" w:eastAsia="仿宋" w:cs="仿宋"/>
                <w:b/>
                <w:bCs/>
                <w:sz w:val="22"/>
                <w:szCs w:val="22"/>
              </w:rPr>
              <w:t>信息传输业、</w:t>
            </w:r>
            <w:bookmarkStart w:id="0" w:name="_Hlk99121158"/>
            <w:r>
              <w:rPr>
                <w:rFonts w:hint="eastAsia" w:ascii="仿宋" w:hAnsi="仿宋" w:eastAsia="仿宋" w:cs="仿宋"/>
                <w:b/>
                <w:bCs/>
                <w:sz w:val="22"/>
                <w:szCs w:val="22"/>
              </w:rPr>
              <w:t>建筑业</w:t>
            </w:r>
            <w:bookmarkEnd w:id="0"/>
            <w:r>
              <w:rPr>
                <w:rFonts w:hint="eastAsia" w:ascii="仿宋" w:hAnsi="仿宋" w:eastAsia="仿宋" w:cs="仿宋"/>
                <w:b/>
                <w:bCs/>
                <w:sz w:val="22"/>
                <w:szCs w:val="22"/>
              </w:rPr>
              <w:t>、租赁和商务服务业</w:t>
            </w:r>
            <w:r>
              <w:rPr>
                <w:rFonts w:hint="eastAsia" w:ascii="仿宋" w:hAnsi="仿宋" w:eastAsia="仿宋" w:cs="仿宋"/>
                <w:sz w:val="22"/>
                <w:szCs w:val="22"/>
              </w:rPr>
              <w:t>，标准为从业人员2000人以下，或营业收入10亿元以下，或资产总额12亿元以下;二是</w:t>
            </w:r>
            <w:r>
              <w:rPr>
                <w:rFonts w:hint="eastAsia" w:ascii="仿宋" w:hAnsi="仿宋" w:eastAsia="仿宋" w:cs="仿宋"/>
                <w:b/>
                <w:bCs/>
                <w:sz w:val="22"/>
                <w:szCs w:val="22"/>
              </w:rPr>
              <w:t>房地产开发经营</w:t>
            </w:r>
            <w:r>
              <w:rPr>
                <w:rFonts w:hint="eastAsia" w:ascii="仿宋" w:hAnsi="仿宋" w:eastAsia="仿宋" w:cs="仿宋"/>
                <w:sz w:val="22"/>
                <w:szCs w:val="22"/>
              </w:rPr>
              <w:t>，标准为营业收入20亿元以下或资产总额1亿元以下;三是其他行业，标准为从业人员1000人以下或营业收入4亿元以下</w:t>
            </w:r>
          </w:p>
        </w:tc>
        <w:tc>
          <w:tcPr>
            <w:tcW w:w="1729" w:type="dxa"/>
            <w:vMerge w:val="restart"/>
            <w:vAlign w:val="center"/>
          </w:tcPr>
          <w:p>
            <w:pPr>
              <w:jc w:val="center"/>
              <w:rPr>
                <w:rFonts w:ascii="仿宋" w:hAnsi="仿宋" w:eastAsia="仿宋" w:cs="仿宋"/>
                <w:b/>
                <w:bCs/>
                <w:sz w:val="22"/>
                <w:szCs w:val="22"/>
              </w:rPr>
            </w:pPr>
            <w:r>
              <w:rPr>
                <w:rFonts w:hint="eastAsia" w:ascii="仿宋" w:hAnsi="仿宋" w:eastAsia="仿宋" w:cs="仿宋"/>
                <w:sz w:val="22"/>
                <w:szCs w:val="22"/>
              </w:rPr>
              <w:t>国家发展改革委、工业和信息化部、财政部、人力资源社会保障部、自然资源部、生态环境部、交通运输部、商务部、人民银行、税务总局、银保监会、能源局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Merge w:val="continue"/>
            <w:vAlign w:val="center"/>
          </w:tcPr>
          <w:p>
            <w:pPr>
              <w:jc w:val="left"/>
              <w:rPr>
                <w:rFonts w:ascii="仿宋" w:hAnsi="仿宋" w:eastAsia="仿宋" w:cs="仿宋"/>
                <w:sz w:val="22"/>
                <w:szCs w:val="22"/>
              </w:rPr>
            </w:pPr>
          </w:p>
        </w:tc>
        <w:tc>
          <w:tcPr>
            <w:tcW w:w="9216" w:type="dxa"/>
            <w:vAlign w:val="center"/>
          </w:tcPr>
          <w:p>
            <w:pPr>
              <w:jc w:val="left"/>
              <w:rPr>
                <w:rFonts w:ascii="仿宋" w:hAnsi="仿宋" w:eastAsia="仿宋" w:cs="仿宋"/>
                <w:sz w:val="22"/>
                <w:szCs w:val="22"/>
              </w:rPr>
            </w:pPr>
            <w:r>
              <w:rPr>
                <w:rFonts w:hint="eastAsia" w:ascii="仿宋" w:hAnsi="仿宋" w:eastAsia="仿宋" w:cs="仿宋"/>
                <w:sz w:val="22"/>
                <w:szCs w:val="22"/>
              </w:rPr>
              <w:t>2.延长阶段性税费缓缴政策，将2021年四季度实施的</w:t>
            </w:r>
            <w:r>
              <w:rPr>
                <w:rFonts w:hint="eastAsia" w:ascii="仿宋" w:hAnsi="仿宋" w:eastAsia="仿宋" w:cs="仿宋"/>
                <w:b/>
                <w:bCs/>
                <w:sz w:val="22"/>
                <w:szCs w:val="22"/>
              </w:rPr>
              <w:t>制造业中小微企业</w:t>
            </w:r>
            <w:r>
              <w:rPr>
                <w:rFonts w:hint="eastAsia" w:ascii="仿宋" w:hAnsi="仿宋" w:eastAsia="仿宋" w:cs="仿宋"/>
                <w:sz w:val="22"/>
                <w:szCs w:val="22"/>
              </w:rPr>
              <w:t>延缓缴纳部分税费政策，延续实施6个月;继续实施新能源汽车购置补贴、充电设施奖补、车船税减免优惠政策。</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vAlign w:val="center"/>
          </w:tcPr>
          <w:p>
            <w:pPr>
              <w:numPr>
                <w:ilvl w:val="0"/>
                <w:numId w:val="1"/>
              </w:numPr>
              <w:jc w:val="center"/>
              <w:rPr>
                <w:rFonts w:ascii="仿宋" w:hAnsi="仿宋" w:eastAsia="仿宋" w:cs="仿宋"/>
                <w:b/>
                <w:bCs/>
                <w:sz w:val="22"/>
                <w:szCs w:val="22"/>
              </w:rPr>
            </w:pPr>
          </w:p>
        </w:tc>
        <w:tc>
          <w:tcPr>
            <w:tcW w:w="1280" w:type="dxa"/>
            <w:vMerge w:val="continue"/>
            <w:vAlign w:val="center"/>
          </w:tcPr>
          <w:p>
            <w:pPr>
              <w:jc w:val="center"/>
              <w:rPr>
                <w:rFonts w:ascii="仿宋" w:hAnsi="仿宋" w:eastAsia="仿宋" w:cs="仿宋"/>
                <w:b/>
                <w:bCs/>
                <w:sz w:val="22"/>
                <w:szCs w:val="22"/>
              </w:rPr>
            </w:pPr>
          </w:p>
        </w:tc>
        <w:tc>
          <w:tcPr>
            <w:tcW w:w="1427" w:type="dxa"/>
            <w:gridSpan w:val="2"/>
            <w:vAlign w:val="center"/>
          </w:tcPr>
          <w:p>
            <w:pPr>
              <w:widowControl/>
              <w:spacing w:before="100" w:beforeAutospacing="1" w:after="100" w:afterAutospacing="1"/>
              <w:rPr>
                <w:rFonts w:ascii="仿宋" w:hAnsi="仿宋" w:eastAsia="仿宋" w:cs="仿宋"/>
                <w:sz w:val="22"/>
                <w:szCs w:val="22"/>
              </w:rPr>
            </w:pPr>
            <w:r>
              <w:rPr>
                <w:rFonts w:hint="eastAsia" w:ascii="仿宋" w:hAnsi="仿宋" w:eastAsia="仿宋" w:cs="仿宋"/>
                <w:sz w:val="22"/>
                <w:szCs w:val="22"/>
              </w:rPr>
              <w:t>保供稳价政策</w:t>
            </w: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3</w:t>
            </w:r>
            <w:r>
              <w:rPr>
                <w:rFonts w:hint="eastAsia" w:ascii="仿宋" w:hAnsi="仿宋" w:eastAsia="仿宋" w:cs="仿宋"/>
                <w:sz w:val="22"/>
                <w:szCs w:val="22"/>
              </w:rPr>
              <w:t>.坚持绿色发展，整合差别电价、阶梯电价、惩罚性电价等差别化电价政策，建立统一的高耗能行业阶梯电价制度，</w:t>
            </w:r>
            <w:r>
              <w:rPr>
                <w:rFonts w:hint="eastAsia" w:ascii="仿宋" w:hAnsi="仿宋" w:eastAsia="仿宋" w:cs="仿宋"/>
                <w:b/>
                <w:bCs/>
                <w:sz w:val="22"/>
                <w:szCs w:val="22"/>
              </w:rPr>
              <w:t>对能效达到基准水平的存量企业和能效达到标杆水平的在建、拟建企业用电不加价</w:t>
            </w:r>
            <w:r>
              <w:rPr>
                <w:rFonts w:hint="eastAsia" w:ascii="仿宋" w:hAnsi="仿宋" w:eastAsia="仿宋" w:cs="仿宋"/>
                <w:sz w:val="22"/>
                <w:szCs w:val="22"/>
              </w:rPr>
              <w:t>，未达到的根据能效水平差距实行阶梯电价，加价电费专项用于支持企业节能减污降碳技术改造</w:t>
            </w:r>
          </w:p>
        </w:tc>
        <w:tc>
          <w:tcPr>
            <w:tcW w:w="1729" w:type="dxa"/>
            <w:vMerge w:val="continue"/>
            <w:vAlign w:val="center"/>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vAlign w:val="center"/>
          </w:tcPr>
          <w:p>
            <w:pPr>
              <w:numPr>
                <w:ilvl w:val="0"/>
                <w:numId w:val="1"/>
              </w:numPr>
              <w:jc w:val="center"/>
              <w:rPr>
                <w:rFonts w:ascii="仿宋" w:hAnsi="仿宋" w:eastAsia="仿宋" w:cs="仿宋"/>
                <w:b/>
                <w:bCs/>
                <w:sz w:val="22"/>
                <w:szCs w:val="22"/>
              </w:rPr>
            </w:pPr>
          </w:p>
        </w:tc>
        <w:tc>
          <w:tcPr>
            <w:tcW w:w="1400" w:type="dxa"/>
            <w:gridSpan w:val="2"/>
            <w:vMerge w:val="restart"/>
            <w:vAlign w:val="center"/>
          </w:tcPr>
          <w:p>
            <w:pPr>
              <w:rPr>
                <w:rFonts w:ascii="仿宋" w:hAnsi="仿宋" w:eastAsia="仿宋" w:cs="仿宋"/>
                <w:b/>
                <w:bCs/>
                <w:sz w:val="22"/>
                <w:szCs w:val="22"/>
              </w:rPr>
            </w:pPr>
            <w:r>
              <w:rPr>
                <w:rFonts w:hint="eastAsia" w:ascii="仿宋" w:hAnsi="仿宋" w:eastAsia="仿宋" w:cs="仿宋"/>
                <w:b/>
                <w:bCs/>
                <w:sz w:val="22"/>
                <w:szCs w:val="22"/>
              </w:rPr>
              <w:t>《关于进一步实施小微企业“六税两费”减免政策的公告》（财政部 税务总局公告2022年第10号）</w:t>
            </w:r>
          </w:p>
        </w:tc>
        <w:tc>
          <w:tcPr>
            <w:tcW w:w="1307" w:type="dxa"/>
            <w:vMerge w:val="restart"/>
            <w:vAlign w:val="center"/>
          </w:tcPr>
          <w:p>
            <w:pPr>
              <w:rPr>
                <w:rFonts w:ascii="仿宋" w:hAnsi="仿宋" w:eastAsia="仿宋" w:cs="仿宋"/>
                <w:b/>
                <w:bCs/>
                <w:sz w:val="22"/>
                <w:szCs w:val="22"/>
              </w:rPr>
            </w:pPr>
            <w:r>
              <w:rPr>
                <w:rFonts w:hint="eastAsia" w:ascii="仿宋" w:hAnsi="仿宋" w:eastAsia="仿宋" w:cs="仿宋"/>
                <w:sz w:val="22"/>
                <w:szCs w:val="22"/>
              </w:rPr>
              <w:t>“六税两费”减免政策的公告</w:t>
            </w:r>
          </w:p>
        </w:tc>
        <w:tc>
          <w:tcPr>
            <w:tcW w:w="9216" w:type="dxa"/>
            <w:vAlign w:val="center"/>
          </w:tcPr>
          <w:p>
            <w:pPr>
              <w:jc w:val="left"/>
              <w:rPr>
                <w:rFonts w:ascii="仿宋" w:hAnsi="仿宋" w:eastAsia="仿宋" w:cs="仿宋"/>
                <w:sz w:val="22"/>
                <w:szCs w:val="22"/>
              </w:rPr>
            </w:pPr>
            <w:r>
              <w:rPr>
                <w:rFonts w:hint="eastAsia" w:ascii="仿宋" w:hAnsi="仿宋" w:eastAsia="仿宋" w:cs="仿宋"/>
                <w:sz w:val="22"/>
                <w:szCs w:val="22"/>
              </w:rPr>
              <w:t>1.对增值税小规模纳税人、小型微利企业和个体工商户可以在50%的税额幅度内减征资源税、城市维护建设税、房产税、城镇土地使用税、印花税（不含证券交易印花税）、耕地占用税和教育费附加、地方教育附加。</w:t>
            </w:r>
          </w:p>
        </w:tc>
        <w:tc>
          <w:tcPr>
            <w:tcW w:w="1729" w:type="dxa"/>
            <w:vMerge w:val="restart"/>
            <w:vAlign w:val="center"/>
          </w:tcPr>
          <w:p>
            <w:pPr>
              <w:jc w:val="left"/>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continue"/>
          </w:tcPr>
          <w:p>
            <w:pPr>
              <w:jc w:val="center"/>
              <w:rPr>
                <w:rFonts w:ascii="仿宋" w:hAnsi="仿宋" w:eastAsia="仿宋" w:cs="仿宋"/>
                <w:b/>
                <w:bCs/>
                <w:sz w:val="22"/>
                <w:szCs w:val="22"/>
              </w:rPr>
            </w:pPr>
          </w:p>
        </w:tc>
        <w:tc>
          <w:tcPr>
            <w:tcW w:w="1307" w:type="dxa"/>
            <w:vMerge w:val="continue"/>
          </w:tcPr>
          <w:p>
            <w:pPr>
              <w:widowControl/>
              <w:spacing w:before="100" w:beforeAutospacing="1" w:after="100" w:afterAutospacing="1"/>
              <w:rPr>
                <w:rFonts w:ascii="仿宋" w:hAnsi="仿宋" w:eastAsia="仿宋" w:cs="仿宋"/>
                <w:sz w:val="22"/>
                <w:szCs w:val="22"/>
              </w:rPr>
            </w:pPr>
          </w:p>
        </w:tc>
        <w:tc>
          <w:tcPr>
            <w:tcW w:w="9216" w:type="dxa"/>
            <w:vAlign w:val="center"/>
          </w:tcPr>
          <w:p>
            <w:pPr>
              <w:jc w:val="left"/>
              <w:rPr>
                <w:rFonts w:ascii="仿宋" w:hAnsi="仿宋" w:eastAsia="仿宋" w:cs="仿宋"/>
                <w:sz w:val="22"/>
                <w:szCs w:val="22"/>
              </w:rPr>
            </w:pPr>
            <w:r>
              <w:rPr>
                <w:rFonts w:hint="eastAsia" w:ascii="仿宋" w:hAnsi="仿宋" w:eastAsia="仿宋" w:cs="仿宋"/>
                <w:sz w:val="22"/>
                <w:szCs w:val="22"/>
              </w:rPr>
              <w:t>2.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tc>
        <w:tc>
          <w:tcPr>
            <w:tcW w:w="1729" w:type="dxa"/>
            <w:vMerge w:val="continue"/>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continue"/>
          </w:tcPr>
          <w:p>
            <w:pPr>
              <w:jc w:val="center"/>
              <w:rPr>
                <w:rFonts w:ascii="仿宋" w:hAnsi="仿宋" w:eastAsia="仿宋" w:cs="仿宋"/>
                <w:b/>
                <w:bCs/>
                <w:sz w:val="22"/>
                <w:szCs w:val="22"/>
              </w:rPr>
            </w:pPr>
          </w:p>
        </w:tc>
        <w:tc>
          <w:tcPr>
            <w:tcW w:w="1307" w:type="dxa"/>
            <w:vMerge w:val="continue"/>
          </w:tcPr>
          <w:p>
            <w:pPr>
              <w:widowControl/>
              <w:spacing w:before="100" w:beforeAutospacing="1" w:after="100" w:afterAutospacing="1"/>
              <w:rPr>
                <w:rFonts w:ascii="仿宋" w:hAnsi="仿宋" w:eastAsia="仿宋" w:cs="仿宋"/>
                <w:sz w:val="22"/>
                <w:szCs w:val="22"/>
              </w:rPr>
            </w:pP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3</w:t>
            </w:r>
            <w:r>
              <w:rPr>
                <w:rFonts w:hint="eastAsia" w:ascii="仿宋" w:hAnsi="仿宋" w:eastAsia="仿宋" w:cs="仿宋"/>
                <w:sz w:val="22"/>
                <w:szCs w:val="22"/>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一条规定的优惠政策。</w:t>
            </w:r>
            <w:r>
              <w:rPr>
                <w:rFonts w:ascii="Calibri" w:hAnsi="Calibri" w:eastAsia="仿宋" w:cs="Calibri"/>
                <w:sz w:val="22"/>
                <w:szCs w:val="22"/>
              </w:rPr>
              <w:t> </w:t>
            </w:r>
          </w:p>
        </w:tc>
        <w:tc>
          <w:tcPr>
            <w:tcW w:w="1729" w:type="dxa"/>
            <w:vMerge w:val="continue"/>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restart"/>
            <w:vAlign w:val="center"/>
          </w:tcPr>
          <w:p>
            <w:pPr>
              <w:rPr>
                <w:rFonts w:ascii="仿宋" w:hAnsi="仿宋" w:eastAsia="仿宋" w:cs="仿宋"/>
                <w:b/>
                <w:bCs/>
                <w:sz w:val="22"/>
                <w:szCs w:val="22"/>
              </w:rPr>
            </w:pPr>
            <w:r>
              <w:rPr>
                <w:rFonts w:ascii="仿宋" w:hAnsi="仿宋" w:eastAsia="仿宋" w:cs="仿宋"/>
                <w:b/>
                <w:bCs/>
                <w:sz w:val="22"/>
                <w:szCs w:val="22"/>
              </w:rPr>
              <w:t>《关于促进服务业领域困难行业纾困发展有关增值税政策的公告》（财政部 税务总局公告2022年第11号）</w:t>
            </w:r>
          </w:p>
        </w:tc>
        <w:tc>
          <w:tcPr>
            <w:tcW w:w="1307" w:type="dxa"/>
            <w:vMerge w:val="restart"/>
            <w:vAlign w:val="center"/>
          </w:tcPr>
          <w:p>
            <w:pPr>
              <w:rPr>
                <w:rFonts w:ascii="仿宋" w:hAnsi="仿宋" w:eastAsia="仿宋" w:cs="仿宋"/>
                <w:b/>
                <w:bCs/>
                <w:sz w:val="22"/>
                <w:szCs w:val="22"/>
              </w:rPr>
            </w:pPr>
            <w:r>
              <w:rPr>
                <w:rFonts w:ascii="仿宋" w:hAnsi="仿宋" w:eastAsia="仿宋" w:cs="仿宋"/>
                <w:sz w:val="22"/>
                <w:szCs w:val="22"/>
              </w:rPr>
              <w:t>纾困发展有关增值税政策的公告</w:t>
            </w: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1</w:t>
            </w:r>
            <w:r>
              <w:rPr>
                <w:rFonts w:hint="eastAsia" w:ascii="仿宋" w:hAnsi="仿宋" w:eastAsia="仿宋" w:cs="仿宋"/>
                <w:sz w:val="22"/>
                <w:szCs w:val="22"/>
              </w:rPr>
              <w:t>.</w:t>
            </w:r>
            <w:r>
              <w:rPr>
                <w:rFonts w:ascii="仿宋" w:hAnsi="仿宋" w:eastAsia="仿宋" w:cs="仿宋"/>
                <w:sz w:val="22"/>
                <w:szCs w:val="22"/>
              </w:rPr>
              <w:t>《财政部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w:t>
            </w:r>
          </w:p>
        </w:tc>
        <w:tc>
          <w:tcPr>
            <w:tcW w:w="1729" w:type="dxa"/>
            <w:vMerge w:val="restart"/>
            <w:vAlign w:val="center"/>
          </w:tcPr>
          <w:p>
            <w:pP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continue"/>
          </w:tcPr>
          <w:p>
            <w:pPr>
              <w:jc w:val="center"/>
              <w:rPr>
                <w:rFonts w:ascii="仿宋" w:hAnsi="仿宋" w:eastAsia="仿宋" w:cs="仿宋"/>
                <w:b/>
                <w:bCs/>
                <w:sz w:val="22"/>
                <w:szCs w:val="22"/>
              </w:rPr>
            </w:pPr>
          </w:p>
        </w:tc>
        <w:tc>
          <w:tcPr>
            <w:tcW w:w="1307" w:type="dxa"/>
            <w:vMerge w:val="continue"/>
          </w:tcPr>
          <w:p>
            <w:pPr>
              <w:widowControl/>
              <w:spacing w:before="100" w:beforeAutospacing="1" w:after="100" w:afterAutospacing="1"/>
              <w:rPr>
                <w:rFonts w:ascii="仿宋" w:hAnsi="仿宋" w:eastAsia="仿宋" w:cs="仿宋"/>
                <w:sz w:val="22"/>
                <w:szCs w:val="22"/>
              </w:rPr>
            </w:pPr>
          </w:p>
        </w:tc>
        <w:tc>
          <w:tcPr>
            <w:tcW w:w="9216" w:type="dxa"/>
            <w:vAlign w:val="center"/>
          </w:tcPr>
          <w:p>
            <w:pPr>
              <w:pStyle w:val="12"/>
              <w:spacing w:before="0" w:beforeAutospacing="0" w:after="0" w:afterAutospacing="0"/>
              <w:rPr>
                <w:rFonts w:ascii="仿宋" w:hAnsi="仿宋" w:eastAsia="仿宋" w:cs="仿宋"/>
                <w:kern w:val="2"/>
                <w:sz w:val="22"/>
                <w:szCs w:val="22"/>
              </w:rPr>
            </w:pPr>
            <w:r>
              <w:rPr>
                <w:rFonts w:ascii="仿宋" w:hAnsi="仿宋" w:eastAsia="仿宋" w:cs="仿宋"/>
                <w:kern w:val="2"/>
                <w:sz w:val="22"/>
                <w:szCs w:val="22"/>
              </w:rPr>
              <w:t>2</w:t>
            </w:r>
            <w:r>
              <w:rPr>
                <w:rFonts w:hint="eastAsia" w:ascii="仿宋" w:hAnsi="仿宋" w:eastAsia="仿宋" w:cs="仿宋"/>
                <w:kern w:val="2"/>
                <w:sz w:val="22"/>
                <w:szCs w:val="22"/>
              </w:rPr>
              <w:t>.</w:t>
            </w:r>
            <w:r>
              <w:rPr>
                <w:rFonts w:ascii="仿宋" w:hAnsi="仿宋" w:eastAsia="仿宋" w:cs="仿宋"/>
                <w:kern w:val="2"/>
                <w:sz w:val="22"/>
                <w:szCs w:val="22"/>
              </w:rPr>
              <w:t>自2022年1月1日至2022年12月31日，航空和铁路运输企业分支机构暂停预缴增值税。2022年2月纳税申报期至文件发布之日已预缴的增值税予以退还。</w:t>
            </w:r>
            <w:r>
              <w:rPr>
                <w:rFonts w:ascii="Calibri" w:hAnsi="Calibri" w:eastAsia="仿宋" w:cs="Calibri"/>
                <w:kern w:val="2"/>
                <w:sz w:val="22"/>
                <w:szCs w:val="22"/>
              </w:rPr>
              <w:t> </w:t>
            </w:r>
          </w:p>
        </w:tc>
        <w:tc>
          <w:tcPr>
            <w:tcW w:w="1729" w:type="dxa"/>
            <w:vMerge w:val="continue"/>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continue"/>
          </w:tcPr>
          <w:p>
            <w:pPr>
              <w:jc w:val="center"/>
              <w:rPr>
                <w:rFonts w:ascii="仿宋" w:hAnsi="仿宋" w:eastAsia="仿宋" w:cs="仿宋"/>
                <w:b/>
                <w:bCs/>
                <w:sz w:val="22"/>
                <w:szCs w:val="22"/>
              </w:rPr>
            </w:pPr>
          </w:p>
        </w:tc>
        <w:tc>
          <w:tcPr>
            <w:tcW w:w="1307" w:type="dxa"/>
            <w:vMerge w:val="continue"/>
          </w:tcPr>
          <w:p>
            <w:pPr>
              <w:widowControl/>
              <w:spacing w:before="100" w:beforeAutospacing="1" w:after="100" w:afterAutospacing="1"/>
              <w:rPr>
                <w:rFonts w:ascii="仿宋" w:hAnsi="仿宋" w:eastAsia="仿宋" w:cs="仿宋"/>
                <w:sz w:val="22"/>
                <w:szCs w:val="22"/>
              </w:rPr>
            </w:pPr>
          </w:p>
        </w:tc>
        <w:tc>
          <w:tcPr>
            <w:tcW w:w="9216" w:type="dxa"/>
            <w:vAlign w:val="center"/>
          </w:tcPr>
          <w:p>
            <w:pPr>
              <w:jc w:val="left"/>
              <w:rPr>
                <w:rFonts w:ascii="仿宋" w:hAnsi="仿宋" w:eastAsia="仿宋" w:cs="仿宋"/>
                <w:sz w:val="22"/>
                <w:szCs w:val="22"/>
              </w:rPr>
            </w:pPr>
            <w:r>
              <w:rPr>
                <w:rFonts w:ascii="仿宋" w:hAnsi="仿宋" w:eastAsia="仿宋" w:cs="仿宋"/>
                <w:sz w:val="22"/>
                <w:szCs w:val="22"/>
              </w:rPr>
              <w:t>3</w:t>
            </w:r>
            <w:r>
              <w:rPr>
                <w:rFonts w:hint="eastAsia" w:ascii="仿宋" w:hAnsi="仿宋" w:eastAsia="仿宋" w:cs="仿宋"/>
                <w:sz w:val="22"/>
                <w:szCs w:val="22"/>
              </w:rPr>
              <w:t>.</w:t>
            </w:r>
            <w:r>
              <w:rPr>
                <w:rFonts w:ascii="仿宋" w:hAnsi="仿宋" w:eastAsia="仿宋" w:cs="仿宋"/>
                <w:sz w:val="22"/>
                <w:szCs w:val="22"/>
              </w:rPr>
              <w:t>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c>
          <w:tcPr>
            <w:tcW w:w="1729" w:type="dxa"/>
            <w:vMerge w:val="continue"/>
          </w:tcPr>
          <w:p>
            <w:pPr>
              <w:jc w:val="center"/>
              <w:rPr>
                <w:rFonts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Align w:val="center"/>
          </w:tcPr>
          <w:p>
            <w:pPr>
              <w:rPr>
                <w:rFonts w:ascii="仿宋" w:hAnsi="仿宋" w:eastAsia="仿宋" w:cs="仿宋"/>
                <w:b/>
                <w:bCs/>
                <w:color w:val="333333"/>
                <w:spacing w:val="15"/>
                <w:sz w:val="22"/>
                <w:szCs w:val="22"/>
                <w:shd w:val="clear" w:color="auto" w:fill="FFFFFF"/>
              </w:rPr>
            </w:pPr>
            <w:r>
              <w:rPr>
                <w:rFonts w:ascii="仿宋" w:hAnsi="仿宋" w:eastAsia="仿宋" w:cs="仿宋"/>
                <w:b/>
                <w:bCs/>
                <w:sz w:val="18"/>
                <w:szCs w:val="18"/>
              </w:rPr>
              <w:t>《关于进一步实施小微企业所得税优惠政策的公告》（财政部 税务总局公告2022年第13号）</w:t>
            </w:r>
          </w:p>
        </w:tc>
        <w:tc>
          <w:tcPr>
            <w:tcW w:w="1307" w:type="dxa"/>
            <w:vAlign w:val="center"/>
          </w:tcPr>
          <w:p>
            <w:pPr>
              <w:pStyle w:val="12"/>
              <w:spacing w:before="0" w:beforeAutospacing="0" w:after="422" w:afterAutospacing="0" w:line="27" w:lineRule="atLeast"/>
              <w:jc w:val="both"/>
              <w:rPr>
                <w:rFonts w:ascii="仿宋" w:hAnsi="仿宋" w:eastAsia="仿宋" w:cs="仿宋"/>
                <w:color w:val="333333"/>
                <w:spacing w:val="15"/>
                <w:kern w:val="2"/>
                <w:sz w:val="22"/>
                <w:szCs w:val="22"/>
                <w:shd w:val="clear" w:color="auto" w:fill="FFFFFF"/>
              </w:rPr>
            </w:pPr>
            <w:r>
              <w:rPr>
                <w:rFonts w:ascii="仿宋" w:hAnsi="仿宋" w:eastAsia="仿宋" w:cs="仿宋"/>
                <w:color w:val="333333"/>
                <w:spacing w:val="15"/>
                <w:kern w:val="2"/>
                <w:sz w:val="22"/>
                <w:szCs w:val="22"/>
                <w:shd w:val="clear" w:color="auto" w:fill="FFFFFF"/>
              </w:rPr>
              <w:t>小微企业所得税优惠政策</w:t>
            </w:r>
          </w:p>
        </w:tc>
        <w:tc>
          <w:tcPr>
            <w:tcW w:w="9216" w:type="dxa"/>
            <w:vAlign w:val="center"/>
          </w:tcPr>
          <w:p>
            <w:pPr>
              <w:jc w:val="left"/>
              <w:rPr>
                <w:rFonts w:ascii="仿宋" w:hAnsi="仿宋" w:eastAsia="仿宋" w:cs="仿宋"/>
                <w:sz w:val="22"/>
                <w:szCs w:val="22"/>
              </w:rPr>
            </w:pPr>
            <w:r>
              <w:rPr>
                <w:rFonts w:hint="eastAsia" w:ascii="仿宋" w:hAnsi="仿宋" w:eastAsia="仿宋" w:cs="仿宋"/>
                <w:sz w:val="22"/>
                <w:szCs w:val="22"/>
                <w:lang w:val="en-US" w:eastAsia="zh-CN"/>
              </w:rPr>
              <w:t>1.</w:t>
            </w:r>
            <w:r>
              <w:rPr>
                <w:rFonts w:hint="eastAsia" w:ascii="仿宋" w:hAnsi="仿宋" w:eastAsia="仿宋" w:cs="仿宋"/>
                <w:sz w:val="22"/>
                <w:szCs w:val="22"/>
              </w:rPr>
              <w:t>对小型微利企业年应纳税所得额超过100万元但不超过300万元的部分，减按25%计入应纳税所得额，按20%的税率缴纳企业所得税。</w:t>
            </w:r>
            <w:r>
              <w:rPr>
                <w:rFonts w:ascii="Calibri" w:hAnsi="Calibri" w:eastAsia="仿宋" w:cs="Calibri"/>
                <w:sz w:val="22"/>
                <w:szCs w:val="22"/>
              </w:rPr>
              <w:t> </w:t>
            </w:r>
          </w:p>
        </w:tc>
        <w:tc>
          <w:tcPr>
            <w:tcW w:w="1729" w:type="dxa"/>
            <w:vAlign w:val="center"/>
          </w:tcPr>
          <w:p>
            <w:pP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restart"/>
            <w:vAlign w:val="center"/>
          </w:tcPr>
          <w:p>
            <w:pPr>
              <w:jc w:val="left"/>
              <w:rPr>
                <w:rFonts w:ascii="仿宋" w:hAnsi="仿宋" w:eastAsia="仿宋" w:cs="仿宋"/>
                <w:b/>
                <w:bCs/>
                <w:color w:val="333333"/>
                <w:spacing w:val="15"/>
                <w:sz w:val="22"/>
                <w:szCs w:val="22"/>
                <w:shd w:val="clear" w:color="auto" w:fill="FFFFFF"/>
              </w:rPr>
            </w:pPr>
            <w:r>
              <w:rPr>
                <w:rFonts w:ascii="仿宋" w:hAnsi="仿宋" w:eastAsia="仿宋" w:cs="仿宋"/>
                <w:b/>
                <w:bCs/>
                <w:color w:val="333333"/>
                <w:spacing w:val="15"/>
                <w:szCs w:val="21"/>
                <w:shd w:val="clear" w:color="auto" w:fill="FFFFFF"/>
              </w:rPr>
              <w:t>《关于进一步加大增值税期末留抵退税政策实施力度的公告》（财政部 税务总局公告2022年第14号）</w:t>
            </w:r>
          </w:p>
        </w:tc>
        <w:tc>
          <w:tcPr>
            <w:tcW w:w="1307" w:type="dxa"/>
            <w:vMerge w:val="restart"/>
            <w:vAlign w:val="center"/>
          </w:tcPr>
          <w:p>
            <w:pPr>
              <w:rPr>
                <w:rFonts w:ascii="仿宋" w:hAnsi="仿宋" w:eastAsia="仿宋" w:cs="仿宋"/>
                <w:color w:val="333333"/>
                <w:spacing w:val="15"/>
                <w:sz w:val="22"/>
                <w:szCs w:val="22"/>
                <w:shd w:val="clear" w:color="auto" w:fill="FFFFFF"/>
              </w:rPr>
            </w:pPr>
            <w:r>
              <w:rPr>
                <w:rFonts w:ascii="仿宋" w:hAnsi="仿宋" w:eastAsia="仿宋" w:cs="仿宋"/>
                <w:color w:val="333333"/>
                <w:spacing w:val="15"/>
                <w:sz w:val="22"/>
                <w:szCs w:val="22"/>
                <w:shd w:val="clear" w:color="auto" w:fill="FFFFFF"/>
              </w:rPr>
              <w:t>进一步加大增值税期末留抵退税政策实施力度</w:t>
            </w:r>
          </w:p>
        </w:tc>
        <w:tc>
          <w:tcPr>
            <w:tcW w:w="9216" w:type="dxa"/>
            <w:vAlign w:val="center"/>
          </w:tcPr>
          <w:p>
            <w:pPr>
              <w:jc w:val="left"/>
              <w:rPr>
                <w:rFonts w:ascii="仿宋" w:hAnsi="仿宋" w:eastAsia="仿宋" w:cs="仿宋"/>
                <w:color w:val="333333"/>
                <w:spacing w:val="15"/>
                <w:sz w:val="22"/>
                <w:szCs w:val="22"/>
                <w:shd w:val="clear" w:color="auto" w:fill="FFFFFF"/>
              </w:rPr>
            </w:pPr>
            <w:r>
              <w:rPr>
                <w:rFonts w:ascii="仿宋" w:hAnsi="仿宋" w:eastAsia="仿宋" w:cs="仿宋"/>
                <w:color w:val="333333"/>
                <w:spacing w:val="15"/>
                <w:sz w:val="22"/>
                <w:szCs w:val="22"/>
                <w:shd w:val="clear" w:color="auto" w:fill="FFFFFF"/>
              </w:rPr>
              <w:t>1.自2022年4月纳税申报期起向主管税务机关申请一次性退还存量留抵税额；符合条件的小型企业，可以自2022年5月纳税申报期起向主管税务机关申请一次性退还存量留抵税额。</w:t>
            </w:r>
          </w:p>
        </w:tc>
        <w:tc>
          <w:tcPr>
            <w:tcW w:w="1729" w:type="dxa"/>
            <w:vAlign w:val="center"/>
          </w:tcPr>
          <w:p>
            <w:pP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continue"/>
          </w:tcPr>
          <w:p>
            <w:pPr>
              <w:jc w:val="center"/>
              <w:rPr>
                <w:rFonts w:ascii="仿宋" w:hAnsi="仿宋" w:eastAsia="仿宋" w:cs="仿宋"/>
                <w:b/>
                <w:bCs/>
                <w:sz w:val="22"/>
                <w:szCs w:val="22"/>
              </w:rPr>
            </w:pPr>
          </w:p>
        </w:tc>
        <w:tc>
          <w:tcPr>
            <w:tcW w:w="1307" w:type="dxa"/>
            <w:vMerge w:val="continue"/>
          </w:tcPr>
          <w:p>
            <w:pPr>
              <w:widowControl/>
              <w:spacing w:before="100" w:beforeAutospacing="1" w:after="100" w:afterAutospacing="1"/>
              <w:rPr>
                <w:rFonts w:ascii="仿宋" w:hAnsi="仿宋" w:eastAsia="仿宋" w:cs="仿宋"/>
                <w:sz w:val="22"/>
                <w:szCs w:val="22"/>
              </w:rPr>
            </w:pPr>
          </w:p>
        </w:tc>
        <w:tc>
          <w:tcPr>
            <w:tcW w:w="9216" w:type="dxa"/>
            <w:vAlign w:val="center"/>
          </w:tcPr>
          <w:p>
            <w:pPr>
              <w:jc w:val="left"/>
              <w:rPr>
                <w:rFonts w:ascii="仿宋" w:hAnsi="仿宋" w:eastAsia="仿宋" w:cs="仿宋"/>
                <w:color w:val="333333"/>
                <w:spacing w:val="15"/>
                <w:sz w:val="22"/>
                <w:szCs w:val="22"/>
                <w:shd w:val="clear" w:color="auto" w:fill="FFFFFF"/>
              </w:rPr>
            </w:pPr>
            <w:r>
              <w:rPr>
                <w:rFonts w:ascii="仿宋" w:hAnsi="仿宋" w:eastAsia="仿宋" w:cs="仿宋"/>
                <w:color w:val="333333"/>
                <w:spacing w:val="15"/>
                <w:sz w:val="22"/>
                <w:szCs w:val="22"/>
                <w:shd w:val="clear" w:color="auto" w:fill="FFFFFF"/>
              </w:rPr>
              <w:t>2</w:t>
            </w:r>
            <w:r>
              <w:rPr>
                <w:rFonts w:hint="eastAsia" w:ascii="仿宋" w:hAnsi="仿宋" w:eastAsia="仿宋" w:cs="仿宋"/>
                <w:color w:val="333333"/>
                <w:spacing w:val="15"/>
                <w:sz w:val="22"/>
                <w:szCs w:val="22"/>
                <w:shd w:val="clear" w:color="auto" w:fill="FFFFFF"/>
              </w:rPr>
              <w:t>.</w:t>
            </w:r>
            <w:r>
              <w:rPr>
                <w:rFonts w:ascii="仿宋" w:hAnsi="仿宋" w:eastAsia="仿宋" w:cs="仿宋"/>
                <w:color w:val="333333"/>
                <w:spacing w:val="15"/>
                <w:sz w:val="22"/>
                <w:szCs w:val="22"/>
                <w:shd w:val="clear" w:color="auto" w:fill="FFFFFF"/>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tc>
        <w:tc>
          <w:tcPr>
            <w:tcW w:w="1729" w:type="dxa"/>
            <w:vAlign w:val="center"/>
          </w:tcPr>
          <w:p>
            <w:pPr>
              <w:jc w:val="cente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continue"/>
          </w:tcPr>
          <w:p>
            <w:pPr>
              <w:jc w:val="center"/>
              <w:rPr>
                <w:rFonts w:ascii="仿宋" w:hAnsi="仿宋" w:eastAsia="仿宋" w:cs="仿宋"/>
                <w:b/>
                <w:bCs/>
                <w:sz w:val="22"/>
                <w:szCs w:val="22"/>
              </w:rPr>
            </w:pPr>
          </w:p>
        </w:tc>
        <w:tc>
          <w:tcPr>
            <w:tcW w:w="1307" w:type="dxa"/>
            <w:vMerge w:val="continue"/>
          </w:tcPr>
          <w:p>
            <w:pPr>
              <w:widowControl/>
              <w:spacing w:before="100" w:beforeAutospacing="1" w:after="100" w:afterAutospacing="1"/>
              <w:rPr>
                <w:rFonts w:ascii="仿宋" w:hAnsi="仿宋" w:eastAsia="仿宋" w:cs="仿宋"/>
                <w:sz w:val="22"/>
                <w:szCs w:val="22"/>
              </w:rPr>
            </w:pPr>
          </w:p>
        </w:tc>
        <w:tc>
          <w:tcPr>
            <w:tcW w:w="9216" w:type="dxa"/>
            <w:vAlign w:val="center"/>
          </w:tcPr>
          <w:p>
            <w:pPr>
              <w:jc w:val="left"/>
              <w:rPr>
                <w:rFonts w:ascii="仿宋" w:hAnsi="仿宋" w:eastAsia="仿宋" w:cs="仿宋"/>
                <w:color w:val="333333"/>
                <w:spacing w:val="15"/>
                <w:sz w:val="22"/>
                <w:szCs w:val="22"/>
                <w:shd w:val="clear" w:color="auto" w:fill="FFFFFF"/>
              </w:rPr>
            </w:pPr>
            <w:r>
              <w:rPr>
                <w:rFonts w:ascii="仿宋" w:hAnsi="仿宋" w:eastAsia="仿宋" w:cs="仿宋"/>
                <w:color w:val="333333"/>
                <w:spacing w:val="15"/>
                <w:sz w:val="22"/>
                <w:szCs w:val="22"/>
                <w:shd w:val="clear" w:color="auto" w:fill="FFFFFF"/>
              </w:rPr>
              <w:t>3</w:t>
            </w:r>
            <w:r>
              <w:rPr>
                <w:rFonts w:hint="eastAsia" w:ascii="仿宋" w:hAnsi="仿宋" w:eastAsia="仿宋" w:cs="仿宋"/>
                <w:color w:val="333333"/>
                <w:spacing w:val="15"/>
                <w:sz w:val="22"/>
                <w:szCs w:val="22"/>
                <w:shd w:val="clear" w:color="auto" w:fill="FFFFFF"/>
              </w:rPr>
              <w:t>.</w:t>
            </w:r>
            <w:r>
              <w:rPr>
                <w:rFonts w:ascii="仿宋" w:hAnsi="仿宋" w:eastAsia="仿宋" w:cs="仿宋"/>
                <w:color w:val="333333"/>
                <w:spacing w:val="15"/>
                <w:sz w:val="22"/>
                <w:szCs w:val="22"/>
                <w:shd w:val="clear" w:color="auto" w:fill="FFFFFF"/>
              </w:rPr>
              <w:t>符合条件的制造业等行业企业，可以自2022年4月纳税申报期起向主管税务机关申请退还增量留抵税额。</w:t>
            </w:r>
          </w:p>
        </w:tc>
        <w:tc>
          <w:tcPr>
            <w:tcW w:w="1729" w:type="dxa"/>
            <w:vAlign w:val="center"/>
          </w:tcPr>
          <w:p>
            <w:pPr>
              <w:jc w:val="cente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Merge w:val="continue"/>
          </w:tcPr>
          <w:p>
            <w:pPr>
              <w:jc w:val="center"/>
              <w:rPr>
                <w:rFonts w:ascii="仿宋" w:hAnsi="仿宋" w:eastAsia="仿宋" w:cs="仿宋"/>
                <w:b/>
                <w:bCs/>
                <w:sz w:val="22"/>
                <w:szCs w:val="22"/>
              </w:rPr>
            </w:pPr>
          </w:p>
        </w:tc>
        <w:tc>
          <w:tcPr>
            <w:tcW w:w="1307" w:type="dxa"/>
            <w:vMerge w:val="continue"/>
          </w:tcPr>
          <w:p>
            <w:pPr>
              <w:widowControl/>
              <w:spacing w:before="100" w:beforeAutospacing="1" w:after="100" w:afterAutospacing="1"/>
              <w:rPr>
                <w:rFonts w:ascii="仿宋" w:hAnsi="仿宋" w:eastAsia="仿宋" w:cs="仿宋"/>
                <w:sz w:val="22"/>
                <w:szCs w:val="22"/>
              </w:rPr>
            </w:pPr>
          </w:p>
        </w:tc>
        <w:tc>
          <w:tcPr>
            <w:tcW w:w="9216" w:type="dxa"/>
            <w:vAlign w:val="center"/>
          </w:tcPr>
          <w:p>
            <w:pPr>
              <w:jc w:val="left"/>
              <w:rPr>
                <w:rFonts w:ascii="仿宋" w:hAnsi="仿宋" w:eastAsia="仿宋" w:cs="仿宋"/>
                <w:color w:val="333333"/>
                <w:spacing w:val="15"/>
                <w:sz w:val="22"/>
                <w:szCs w:val="22"/>
                <w:shd w:val="clear" w:color="auto" w:fill="FFFFFF"/>
              </w:rPr>
            </w:pPr>
            <w:r>
              <w:rPr>
                <w:rFonts w:ascii="仿宋" w:hAnsi="仿宋" w:eastAsia="仿宋" w:cs="仿宋"/>
                <w:color w:val="333333"/>
                <w:spacing w:val="15"/>
                <w:sz w:val="22"/>
                <w:szCs w:val="22"/>
                <w:shd w:val="clear" w:color="auto" w:fill="FFFFFF"/>
              </w:rPr>
              <w:t>4</w:t>
            </w:r>
            <w:r>
              <w:rPr>
                <w:rFonts w:hint="eastAsia" w:ascii="仿宋" w:hAnsi="仿宋" w:eastAsia="仿宋" w:cs="仿宋"/>
                <w:color w:val="333333"/>
                <w:spacing w:val="15"/>
                <w:sz w:val="22"/>
                <w:szCs w:val="22"/>
                <w:shd w:val="clear" w:color="auto" w:fill="FFFFFF"/>
              </w:rPr>
              <w:t>.</w:t>
            </w:r>
            <w:r>
              <w:rPr>
                <w:rFonts w:ascii="仿宋" w:hAnsi="仿宋" w:eastAsia="仿宋" w:cs="仿宋"/>
                <w:color w:val="333333"/>
                <w:spacing w:val="15"/>
                <w:sz w:val="22"/>
                <w:szCs w:val="22"/>
                <w:shd w:val="clear" w:color="auto" w:fill="FFFFFF"/>
              </w:rPr>
              <w:t>符合条件的制造业等行业中型企业，可以自2022年7月纳税申报期起向主管税务机关申请一次性退还存量留抵税额；符合条件的制造业等行业</w:t>
            </w:r>
            <w:r>
              <w:rPr>
                <w:rFonts w:ascii="仿宋" w:hAnsi="仿宋" w:eastAsia="仿宋" w:cs="仿宋"/>
                <w:b/>
                <w:bCs/>
                <w:color w:val="333333"/>
                <w:spacing w:val="15"/>
                <w:sz w:val="22"/>
                <w:szCs w:val="22"/>
                <w:shd w:val="clear" w:color="auto" w:fill="FFFFFF"/>
              </w:rPr>
              <w:t>大型企业</w:t>
            </w:r>
            <w:r>
              <w:rPr>
                <w:rFonts w:ascii="仿宋" w:hAnsi="仿宋" w:eastAsia="仿宋" w:cs="仿宋"/>
                <w:color w:val="333333"/>
                <w:spacing w:val="15"/>
                <w:sz w:val="22"/>
                <w:szCs w:val="22"/>
                <w:shd w:val="clear" w:color="auto" w:fill="FFFFFF"/>
              </w:rPr>
              <w:t>，可以自2022年10月纳税申报期起向主管税务机关申请一次性退还存量留抵税额。</w:t>
            </w:r>
          </w:p>
        </w:tc>
        <w:tc>
          <w:tcPr>
            <w:tcW w:w="1729" w:type="dxa"/>
            <w:vAlign w:val="center"/>
          </w:tcPr>
          <w:p>
            <w:pPr>
              <w:jc w:val="cente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Align w:val="center"/>
          </w:tcPr>
          <w:p>
            <w:pPr>
              <w:rPr>
                <w:rFonts w:ascii="仿宋" w:hAnsi="仿宋" w:eastAsia="仿宋" w:cs="仿宋"/>
                <w:b/>
                <w:bCs/>
                <w:color w:val="333333"/>
                <w:spacing w:val="15"/>
                <w:sz w:val="22"/>
                <w:szCs w:val="22"/>
                <w:shd w:val="clear" w:color="auto" w:fill="FFFFFF"/>
              </w:rPr>
            </w:pPr>
            <w:r>
              <w:rPr>
                <w:rFonts w:ascii="仿宋" w:hAnsi="仿宋" w:eastAsia="仿宋" w:cs="仿宋"/>
                <w:b/>
                <w:bCs/>
                <w:color w:val="333333"/>
                <w:spacing w:val="15"/>
                <w:sz w:val="18"/>
                <w:szCs w:val="18"/>
                <w:shd w:val="clear" w:color="auto" w:fill="FFFFFF"/>
              </w:rPr>
              <w:t>《关于对增值税小规模纳税人免征增值税的公告》（财政部 税务总局公告2022年第15号）</w:t>
            </w:r>
          </w:p>
        </w:tc>
        <w:tc>
          <w:tcPr>
            <w:tcW w:w="1307" w:type="dxa"/>
            <w:vAlign w:val="center"/>
          </w:tcPr>
          <w:p>
            <w:pPr>
              <w:rPr>
                <w:rFonts w:ascii="仿宋" w:hAnsi="仿宋" w:eastAsia="仿宋" w:cs="仿宋"/>
                <w:color w:val="333333"/>
                <w:spacing w:val="15"/>
                <w:sz w:val="22"/>
                <w:szCs w:val="22"/>
                <w:shd w:val="clear" w:color="auto" w:fill="FFFFFF"/>
              </w:rPr>
            </w:pPr>
            <w:r>
              <w:rPr>
                <w:rFonts w:ascii="仿宋" w:hAnsi="仿宋" w:eastAsia="仿宋" w:cs="仿宋"/>
                <w:color w:val="333333"/>
                <w:spacing w:val="15"/>
                <w:sz w:val="22"/>
                <w:szCs w:val="22"/>
                <w:shd w:val="clear" w:color="auto" w:fill="FFFFFF"/>
              </w:rPr>
              <w:t>对增值税小规模纳税人免征增值税</w:t>
            </w:r>
          </w:p>
        </w:tc>
        <w:tc>
          <w:tcPr>
            <w:tcW w:w="9216" w:type="dxa"/>
            <w:vAlign w:val="center"/>
          </w:tcPr>
          <w:p>
            <w:pPr>
              <w:jc w:val="left"/>
              <w:rPr>
                <w:rFonts w:ascii="仿宋" w:hAnsi="仿宋" w:eastAsia="仿宋" w:cs="仿宋"/>
                <w:color w:val="333333"/>
                <w:spacing w:val="15"/>
                <w:sz w:val="22"/>
                <w:szCs w:val="22"/>
                <w:shd w:val="clear" w:color="auto" w:fill="FFFFFF"/>
              </w:rPr>
            </w:pPr>
            <w:r>
              <w:rPr>
                <w:rFonts w:hint="eastAsia" w:ascii="仿宋" w:hAnsi="仿宋" w:eastAsia="仿宋" w:cs="仿宋"/>
                <w:color w:val="333333"/>
                <w:spacing w:val="15"/>
                <w:sz w:val="22"/>
                <w:szCs w:val="22"/>
                <w:shd w:val="clear" w:color="auto" w:fill="FFFFFF"/>
                <w:lang w:val="en-US" w:eastAsia="zh-CN"/>
              </w:rPr>
              <w:t>1.</w:t>
            </w:r>
            <w:r>
              <w:rPr>
                <w:rFonts w:hint="eastAsia" w:ascii="仿宋" w:hAnsi="仿宋" w:eastAsia="仿宋" w:cs="仿宋"/>
                <w:color w:val="333333"/>
                <w:spacing w:val="15"/>
                <w:sz w:val="22"/>
                <w:szCs w:val="22"/>
                <w:shd w:val="clear" w:color="auto" w:fill="FFFFFF"/>
              </w:rPr>
              <w:t>自2022年4月1日至2022年12月31日，增值税</w:t>
            </w:r>
            <w:r>
              <w:rPr>
                <w:rFonts w:hint="eastAsia" w:ascii="仿宋" w:hAnsi="仿宋" w:eastAsia="仿宋" w:cs="仿宋"/>
                <w:b/>
                <w:bCs/>
                <w:color w:val="333333"/>
                <w:spacing w:val="15"/>
                <w:sz w:val="22"/>
                <w:szCs w:val="22"/>
                <w:shd w:val="clear" w:color="auto" w:fill="FFFFFF"/>
              </w:rPr>
              <w:t>小规模</w:t>
            </w:r>
            <w:r>
              <w:rPr>
                <w:rFonts w:hint="eastAsia" w:ascii="仿宋" w:hAnsi="仿宋" w:eastAsia="仿宋" w:cs="仿宋"/>
                <w:color w:val="333333"/>
                <w:spacing w:val="15"/>
                <w:sz w:val="22"/>
                <w:szCs w:val="22"/>
                <w:shd w:val="clear" w:color="auto" w:fill="FFFFFF"/>
              </w:rPr>
              <w:t>纳税人适用3%征收率的应税销售收入，免征增值税；适用3%预征率的预缴增值税项目，暂停预缴增值税。</w:t>
            </w:r>
          </w:p>
          <w:p>
            <w:pPr>
              <w:jc w:val="left"/>
              <w:rPr>
                <w:rFonts w:ascii="仿宋" w:hAnsi="仿宋" w:eastAsia="仿宋" w:cs="仿宋"/>
                <w:color w:val="333333"/>
                <w:spacing w:val="15"/>
                <w:sz w:val="22"/>
                <w:szCs w:val="22"/>
                <w:shd w:val="clear" w:color="auto" w:fill="FFFFFF"/>
              </w:rPr>
            </w:pPr>
            <w:r>
              <w:rPr>
                <w:rFonts w:hint="eastAsia" w:ascii="仿宋" w:hAnsi="仿宋" w:eastAsia="仿宋" w:cs="仿宋"/>
                <w:color w:val="333333"/>
                <w:spacing w:val="15"/>
                <w:sz w:val="22"/>
                <w:szCs w:val="22"/>
                <w:shd w:val="clear" w:color="auto" w:fill="FFFFFF"/>
              </w:rPr>
              <w:t> </w:t>
            </w:r>
          </w:p>
        </w:tc>
        <w:tc>
          <w:tcPr>
            <w:tcW w:w="1729" w:type="dxa"/>
            <w:vAlign w:val="center"/>
          </w:tcPr>
          <w:p>
            <w:pP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2" w:type="dxa"/>
          </w:tcPr>
          <w:p>
            <w:pPr>
              <w:numPr>
                <w:ilvl w:val="0"/>
                <w:numId w:val="1"/>
              </w:numPr>
              <w:jc w:val="center"/>
              <w:rPr>
                <w:rFonts w:ascii="仿宋" w:hAnsi="仿宋" w:eastAsia="仿宋" w:cs="仿宋"/>
                <w:b/>
                <w:bCs/>
                <w:sz w:val="22"/>
                <w:szCs w:val="22"/>
              </w:rPr>
            </w:pPr>
          </w:p>
        </w:tc>
        <w:tc>
          <w:tcPr>
            <w:tcW w:w="1400" w:type="dxa"/>
            <w:gridSpan w:val="2"/>
            <w:vAlign w:val="center"/>
          </w:tcPr>
          <w:p>
            <w:pPr>
              <w:rPr>
                <w:rFonts w:ascii="仿宋" w:hAnsi="仿宋" w:eastAsia="仿宋" w:cs="仿宋"/>
                <w:b/>
                <w:bCs/>
                <w:color w:val="333333"/>
                <w:spacing w:val="15"/>
                <w:sz w:val="22"/>
                <w:szCs w:val="22"/>
                <w:shd w:val="clear" w:color="auto" w:fill="FFFFFF"/>
              </w:rPr>
            </w:pPr>
            <w:r>
              <w:rPr>
                <w:rFonts w:ascii="仿宋" w:hAnsi="仿宋" w:eastAsia="仿宋" w:cs="仿宋"/>
                <w:b/>
                <w:bCs/>
                <w:color w:val="333333"/>
                <w:spacing w:val="15"/>
                <w:sz w:val="20"/>
                <w:szCs w:val="20"/>
                <w:shd w:val="clear" w:color="auto" w:fill="FFFFFF"/>
              </w:rPr>
              <w:t>《关于下达2022年支持小微企业留抵退税有关专项资金预算的通知》（财预〔2022〕34号）</w:t>
            </w:r>
          </w:p>
        </w:tc>
        <w:tc>
          <w:tcPr>
            <w:tcW w:w="1307" w:type="dxa"/>
            <w:vAlign w:val="center"/>
          </w:tcPr>
          <w:p>
            <w:pPr>
              <w:rPr>
                <w:rFonts w:ascii="仿宋" w:hAnsi="仿宋" w:eastAsia="仿宋" w:cs="仿宋"/>
                <w:b/>
                <w:bCs/>
                <w:sz w:val="22"/>
                <w:szCs w:val="22"/>
              </w:rPr>
            </w:pPr>
            <w:r>
              <w:rPr>
                <w:rFonts w:ascii="仿宋" w:hAnsi="仿宋" w:eastAsia="仿宋" w:cs="仿宋"/>
                <w:color w:val="333333"/>
                <w:spacing w:val="15"/>
                <w:sz w:val="22"/>
                <w:szCs w:val="22"/>
                <w:shd w:val="clear" w:color="auto" w:fill="FFFFFF"/>
              </w:rPr>
              <w:t>支持小微企业留抵退税有关专项资金预算</w:t>
            </w:r>
          </w:p>
        </w:tc>
        <w:tc>
          <w:tcPr>
            <w:tcW w:w="9216" w:type="dxa"/>
            <w:vAlign w:val="center"/>
          </w:tcPr>
          <w:p>
            <w:pPr>
              <w:rPr>
                <w:rFonts w:ascii="仿宋" w:hAnsi="仿宋" w:eastAsia="仿宋" w:cs="仿宋"/>
                <w:color w:val="333333"/>
                <w:spacing w:val="15"/>
                <w:sz w:val="22"/>
                <w:szCs w:val="22"/>
                <w:shd w:val="clear" w:color="auto" w:fill="FFFFFF"/>
              </w:rPr>
            </w:pPr>
            <w:r>
              <w:rPr>
                <w:rFonts w:hint="eastAsia" w:ascii="仿宋" w:hAnsi="仿宋" w:eastAsia="仿宋" w:cs="仿宋"/>
                <w:color w:val="333333"/>
                <w:spacing w:val="15"/>
                <w:sz w:val="22"/>
                <w:szCs w:val="22"/>
                <w:shd w:val="clear" w:color="auto" w:fill="FFFFFF"/>
                <w:lang w:val="en-US" w:eastAsia="zh-CN"/>
              </w:rPr>
              <w:t>1.</w:t>
            </w:r>
            <w:r>
              <w:rPr>
                <w:rFonts w:hint="eastAsia" w:ascii="仿宋" w:hAnsi="仿宋" w:eastAsia="仿宋" w:cs="仿宋"/>
                <w:color w:val="333333"/>
                <w:spacing w:val="15"/>
                <w:sz w:val="22"/>
                <w:szCs w:val="22"/>
                <w:shd w:val="clear" w:color="auto" w:fill="FFFFFF"/>
              </w:rPr>
              <w:t>“</w:t>
            </w:r>
            <w:r>
              <w:rPr>
                <w:rFonts w:ascii="仿宋" w:hAnsi="仿宋" w:eastAsia="仿宋" w:cs="仿宋"/>
                <w:color w:val="333333"/>
                <w:spacing w:val="15"/>
                <w:sz w:val="22"/>
                <w:szCs w:val="22"/>
                <w:shd w:val="clear" w:color="auto" w:fill="FFFFFF"/>
              </w:rPr>
              <w:t>支持小微企业落实新出台留抵退税政策的专项资金</w:t>
            </w:r>
            <w:r>
              <w:rPr>
                <w:rFonts w:hint="eastAsia" w:ascii="仿宋" w:hAnsi="仿宋" w:eastAsia="仿宋" w:cs="仿宋"/>
                <w:color w:val="333333"/>
                <w:spacing w:val="15"/>
                <w:sz w:val="22"/>
                <w:szCs w:val="22"/>
                <w:shd w:val="clear" w:color="auto" w:fill="FFFFFF"/>
              </w:rPr>
              <w:t>”</w:t>
            </w:r>
          </w:p>
          <w:p>
            <w:pPr>
              <w:rPr>
                <w:rFonts w:ascii="仿宋" w:hAnsi="仿宋" w:eastAsia="仿宋" w:cs="仿宋"/>
                <w:color w:val="333333"/>
                <w:spacing w:val="15"/>
                <w:sz w:val="22"/>
                <w:szCs w:val="22"/>
                <w:shd w:val="clear" w:color="auto" w:fill="FFFFFF"/>
              </w:rPr>
            </w:pPr>
            <w:r>
              <w:rPr>
                <w:rFonts w:hint="eastAsia" w:ascii="仿宋" w:hAnsi="仿宋" w:eastAsia="仿宋" w:cs="仿宋"/>
                <w:color w:val="333333"/>
                <w:spacing w:val="15"/>
                <w:sz w:val="22"/>
                <w:szCs w:val="22"/>
                <w:shd w:val="clear" w:color="auto" w:fill="FFFFFF"/>
              </w:rPr>
              <w:t>“</w:t>
            </w:r>
            <w:r>
              <w:rPr>
                <w:rFonts w:ascii="仿宋" w:hAnsi="仿宋" w:eastAsia="仿宋" w:cs="仿宋"/>
                <w:color w:val="333333"/>
                <w:spacing w:val="15"/>
                <w:sz w:val="22"/>
                <w:szCs w:val="22"/>
                <w:shd w:val="clear" w:color="auto" w:fill="FFFFFF"/>
              </w:rPr>
              <w:t>支持小微企业按原有政策实施的制度性留抵退税的专项资金</w:t>
            </w:r>
            <w:r>
              <w:rPr>
                <w:rFonts w:hint="eastAsia" w:ascii="仿宋" w:hAnsi="仿宋" w:eastAsia="仿宋" w:cs="仿宋"/>
                <w:color w:val="333333"/>
                <w:spacing w:val="15"/>
                <w:sz w:val="22"/>
                <w:szCs w:val="22"/>
                <w:shd w:val="clear" w:color="auto" w:fill="FFFFFF"/>
              </w:rPr>
              <w:t>”</w:t>
            </w:r>
            <w:r>
              <w:rPr>
                <w:rFonts w:ascii="仿宋" w:hAnsi="仿宋" w:eastAsia="仿宋" w:cs="仿宋"/>
                <w:color w:val="333333"/>
                <w:spacing w:val="15"/>
                <w:sz w:val="22"/>
                <w:szCs w:val="22"/>
                <w:shd w:val="clear" w:color="auto" w:fill="FFFFFF"/>
              </w:rPr>
              <w:t xml:space="preserve"> </w:t>
            </w:r>
          </w:p>
        </w:tc>
        <w:tc>
          <w:tcPr>
            <w:tcW w:w="1729" w:type="dxa"/>
            <w:vAlign w:val="center"/>
          </w:tcPr>
          <w:p>
            <w:pPr>
              <w:rPr>
                <w:rFonts w:ascii="仿宋" w:hAnsi="仿宋" w:eastAsia="仿宋" w:cs="仿宋"/>
                <w:b/>
                <w:bCs/>
                <w:sz w:val="22"/>
                <w:szCs w:val="22"/>
              </w:rPr>
            </w:pPr>
            <w:r>
              <w:rPr>
                <w:rFonts w:hint="eastAsia" w:ascii="仿宋" w:hAnsi="仿宋" w:eastAsia="仿宋" w:cs="仿宋"/>
                <w:color w:val="333333"/>
                <w:spacing w:val="15"/>
                <w:sz w:val="22"/>
                <w:szCs w:val="22"/>
                <w:shd w:val="clear" w:color="auto" w:fill="FFFFFF"/>
              </w:rPr>
              <w:t>财政部、税务总局</w:t>
            </w:r>
          </w:p>
        </w:tc>
      </w:tr>
    </w:tbl>
    <w:p>
      <w:pPr>
        <w:outlineLvl w:val="0"/>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723244"/>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19496040">
    <w:nsid w:val="962C7568"/>
    <w:multiLevelType w:val="singleLevel"/>
    <w:tmpl w:val="962C7568"/>
    <w:lvl w:ilvl="0" w:tentative="1">
      <w:start w:val="1"/>
      <w:numFmt w:val="decimal"/>
      <w:lvlText w:val="%1."/>
      <w:lvlJc w:val="left"/>
      <w:pPr>
        <w:ind w:left="425" w:hanging="425"/>
      </w:pPr>
      <w:rPr>
        <w:rFonts w:hint="default"/>
      </w:rPr>
    </w:lvl>
  </w:abstractNum>
  <w:num w:numId="1">
    <w:abstractNumId w:val="25194960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61"/>
    <w:rsid w:val="00010E30"/>
    <w:rsid w:val="00044949"/>
    <w:rsid w:val="00044EE5"/>
    <w:rsid w:val="000531A9"/>
    <w:rsid w:val="000961F0"/>
    <w:rsid w:val="000E38D1"/>
    <w:rsid w:val="001064CE"/>
    <w:rsid w:val="0010685E"/>
    <w:rsid w:val="0011092D"/>
    <w:rsid w:val="00111D77"/>
    <w:rsid w:val="00124E07"/>
    <w:rsid w:val="00133812"/>
    <w:rsid w:val="00150FEE"/>
    <w:rsid w:val="00163698"/>
    <w:rsid w:val="001703F8"/>
    <w:rsid w:val="001A0B3E"/>
    <w:rsid w:val="001B6FB6"/>
    <w:rsid w:val="001C515D"/>
    <w:rsid w:val="001C640B"/>
    <w:rsid w:val="001D7004"/>
    <w:rsid w:val="001E10FB"/>
    <w:rsid w:val="00253FF8"/>
    <w:rsid w:val="00260CAA"/>
    <w:rsid w:val="002616D9"/>
    <w:rsid w:val="00264BF8"/>
    <w:rsid w:val="002A2626"/>
    <w:rsid w:val="002B4D82"/>
    <w:rsid w:val="002C1495"/>
    <w:rsid w:val="002C5647"/>
    <w:rsid w:val="002D7BB7"/>
    <w:rsid w:val="002E23DE"/>
    <w:rsid w:val="002E73AD"/>
    <w:rsid w:val="002F54D3"/>
    <w:rsid w:val="003032D0"/>
    <w:rsid w:val="00321989"/>
    <w:rsid w:val="00323618"/>
    <w:rsid w:val="00354CC6"/>
    <w:rsid w:val="003B0DCA"/>
    <w:rsid w:val="003C20DD"/>
    <w:rsid w:val="003C4E30"/>
    <w:rsid w:val="003E5354"/>
    <w:rsid w:val="003F1A3C"/>
    <w:rsid w:val="004239A3"/>
    <w:rsid w:val="0042446E"/>
    <w:rsid w:val="00430069"/>
    <w:rsid w:val="004A7C51"/>
    <w:rsid w:val="004B1A15"/>
    <w:rsid w:val="004B234F"/>
    <w:rsid w:val="004B6543"/>
    <w:rsid w:val="004E15D2"/>
    <w:rsid w:val="004F3819"/>
    <w:rsid w:val="00532256"/>
    <w:rsid w:val="00536A66"/>
    <w:rsid w:val="00537389"/>
    <w:rsid w:val="00556E76"/>
    <w:rsid w:val="005625DA"/>
    <w:rsid w:val="00572188"/>
    <w:rsid w:val="0057582E"/>
    <w:rsid w:val="005B778C"/>
    <w:rsid w:val="005B7A2C"/>
    <w:rsid w:val="005D553B"/>
    <w:rsid w:val="005D58CE"/>
    <w:rsid w:val="00627087"/>
    <w:rsid w:val="006417CB"/>
    <w:rsid w:val="0065000A"/>
    <w:rsid w:val="006502E1"/>
    <w:rsid w:val="00654792"/>
    <w:rsid w:val="00661B09"/>
    <w:rsid w:val="006906E0"/>
    <w:rsid w:val="006A612F"/>
    <w:rsid w:val="006E1AC9"/>
    <w:rsid w:val="006E626B"/>
    <w:rsid w:val="006E6827"/>
    <w:rsid w:val="007068C5"/>
    <w:rsid w:val="0072306E"/>
    <w:rsid w:val="00757FEB"/>
    <w:rsid w:val="007601A6"/>
    <w:rsid w:val="0076292D"/>
    <w:rsid w:val="00786651"/>
    <w:rsid w:val="00790454"/>
    <w:rsid w:val="007C6C7F"/>
    <w:rsid w:val="007D16C6"/>
    <w:rsid w:val="007D45C8"/>
    <w:rsid w:val="007D467E"/>
    <w:rsid w:val="007E706A"/>
    <w:rsid w:val="007F1640"/>
    <w:rsid w:val="007F2911"/>
    <w:rsid w:val="007F317D"/>
    <w:rsid w:val="00836680"/>
    <w:rsid w:val="00867B76"/>
    <w:rsid w:val="00875178"/>
    <w:rsid w:val="008D2E77"/>
    <w:rsid w:val="008D3643"/>
    <w:rsid w:val="009071F0"/>
    <w:rsid w:val="00916461"/>
    <w:rsid w:val="00916CD0"/>
    <w:rsid w:val="00937CA5"/>
    <w:rsid w:val="00962E58"/>
    <w:rsid w:val="009B2C2B"/>
    <w:rsid w:val="00A05590"/>
    <w:rsid w:val="00A4053F"/>
    <w:rsid w:val="00A7017B"/>
    <w:rsid w:val="00A77942"/>
    <w:rsid w:val="00A93F83"/>
    <w:rsid w:val="00AD390E"/>
    <w:rsid w:val="00AF6871"/>
    <w:rsid w:val="00B253E5"/>
    <w:rsid w:val="00B3149F"/>
    <w:rsid w:val="00B3566B"/>
    <w:rsid w:val="00B3674E"/>
    <w:rsid w:val="00B6357D"/>
    <w:rsid w:val="00B640C0"/>
    <w:rsid w:val="00B96A14"/>
    <w:rsid w:val="00C16BB4"/>
    <w:rsid w:val="00C35FB3"/>
    <w:rsid w:val="00C43B76"/>
    <w:rsid w:val="00C81490"/>
    <w:rsid w:val="00C920D1"/>
    <w:rsid w:val="00CB60A5"/>
    <w:rsid w:val="00CC211F"/>
    <w:rsid w:val="00CC51E3"/>
    <w:rsid w:val="00D03754"/>
    <w:rsid w:val="00D06F6E"/>
    <w:rsid w:val="00D3390A"/>
    <w:rsid w:val="00D349E8"/>
    <w:rsid w:val="00D44A5C"/>
    <w:rsid w:val="00D85DD0"/>
    <w:rsid w:val="00DA4263"/>
    <w:rsid w:val="00DC374D"/>
    <w:rsid w:val="00DF3231"/>
    <w:rsid w:val="00E26B5E"/>
    <w:rsid w:val="00E31951"/>
    <w:rsid w:val="00E3418A"/>
    <w:rsid w:val="00E560E4"/>
    <w:rsid w:val="00E66D25"/>
    <w:rsid w:val="00EA4B42"/>
    <w:rsid w:val="00EC398B"/>
    <w:rsid w:val="00EC3F25"/>
    <w:rsid w:val="00EC7314"/>
    <w:rsid w:val="00EF3066"/>
    <w:rsid w:val="00EF64CB"/>
    <w:rsid w:val="00EF6DB9"/>
    <w:rsid w:val="00EF7F98"/>
    <w:rsid w:val="00F22A50"/>
    <w:rsid w:val="00F307BB"/>
    <w:rsid w:val="00F60F13"/>
    <w:rsid w:val="00F64C9D"/>
    <w:rsid w:val="00F740D2"/>
    <w:rsid w:val="00F748DB"/>
    <w:rsid w:val="00F9442E"/>
    <w:rsid w:val="00FA0FB2"/>
    <w:rsid w:val="00FB5C31"/>
    <w:rsid w:val="00FC2A93"/>
    <w:rsid w:val="00FD2A3D"/>
    <w:rsid w:val="00FD5E0E"/>
    <w:rsid w:val="08957BF5"/>
    <w:rsid w:val="08AD30CD"/>
    <w:rsid w:val="096D7119"/>
    <w:rsid w:val="0F1428B4"/>
    <w:rsid w:val="1F4A4179"/>
    <w:rsid w:val="2397637F"/>
    <w:rsid w:val="244A4D1A"/>
    <w:rsid w:val="29116A3A"/>
    <w:rsid w:val="2E3402F2"/>
    <w:rsid w:val="35C811D7"/>
    <w:rsid w:val="35E6046A"/>
    <w:rsid w:val="3DAD681D"/>
    <w:rsid w:val="3DB93F7C"/>
    <w:rsid w:val="48406177"/>
    <w:rsid w:val="4A725B71"/>
    <w:rsid w:val="543B3C47"/>
    <w:rsid w:val="57330A85"/>
    <w:rsid w:val="614C6414"/>
    <w:rsid w:val="62CB361A"/>
    <w:rsid w:val="657E6644"/>
    <w:rsid w:val="6AFB2296"/>
    <w:rsid w:val="70660B12"/>
    <w:rsid w:val="780C097F"/>
    <w:rsid w:val="7E6467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line="416" w:lineRule="auto"/>
      <w:outlineLvl w:val="2"/>
    </w:pPr>
    <w:rPr>
      <w:b/>
      <w:bCs/>
      <w:sz w:val="32"/>
      <w:szCs w:val="32"/>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5"/>
    <w:qFormat/>
    <w:uiPriority w:val="0"/>
    <w:rPr>
      <w:b/>
      <w:bCs/>
    </w:rPr>
  </w:style>
  <w:style w:type="paragraph" w:styleId="5">
    <w:name w:val="annotation text"/>
    <w:basedOn w:val="1"/>
    <w:link w:val="24"/>
    <w:qFormat/>
    <w:uiPriority w:val="0"/>
    <w:pPr>
      <w:jc w:val="left"/>
    </w:pPr>
  </w:style>
  <w:style w:type="paragraph" w:styleId="6">
    <w:name w:val="toc 3"/>
    <w:basedOn w:val="1"/>
    <w:next w:val="1"/>
    <w:qFormat/>
    <w:uiPriority w:val="39"/>
    <w:pPr>
      <w:ind w:left="840" w:leftChars="400"/>
    </w:pPr>
  </w:style>
  <w:style w:type="paragraph" w:styleId="7">
    <w:name w:val="Balloon Text"/>
    <w:basedOn w:val="1"/>
    <w:link w:val="23"/>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rPr>
  </w:style>
  <w:style w:type="paragraph" w:styleId="9">
    <w:name w:val="header"/>
    <w:basedOn w:val="1"/>
    <w:link w:val="2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儿童正文"/>
    <w:basedOn w:val="1"/>
    <w:qFormat/>
    <w:uiPriority w:val="0"/>
    <w:pPr>
      <w:spacing w:line="360" w:lineRule="auto"/>
      <w:ind w:firstLine="560" w:firstLineChars="200"/>
    </w:pPr>
    <w:rPr>
      <w:rFonts w:ascii="仿宋_GB2312" w:eastAsia="仿宋_GB2312"/>
    </w:rPr>
  </w:style>
  <w:style w:type="paragraph" w:customStyle="1" w:styleId="20">
    <w:name w:val="列出段落1"/>
    <w:basedOn w:val="1"/>
    <w:qFormat/>
    <w:uiPriority w:val="34"/>
    <w:pPr>
      <w:ind w:firstLine="420" w:firstLineChars="200"/>
    </w:pPr>
    <w:rPr>
      <w:rFonts w:ascii="Times New Roman" w:hAnsi="Times New Roman" w:eastAsia="宋体"/>
    </w:rPr>
  </w:style>
  <w:style w:type="character" w:customStyle="1" w:styleId="21">
    <w:name w:val="标题 1 字符"/>
    <w:basedOn w:val="13"/>
    <w:link w:val="2"/>
    <w:qFormat/>
    <w:uiPriority w:val="0"/>
    <w:rPr>
      <w:rFonts w:asciiTheme="minorHAnsi" w:hAnsiTheme="minorHAnsi" w:eastAsiaTheme="minorEastAsia" w:cstheme="minorBidi"/>
      <w:b/>
      <w:bCs/>
      <w:kern w:val="44"/>
      <w:sz w:val="44"/>
      <w:szCs w:val="44"/>
    </w:rPr>
  </w:style>
  <w:style w:type="character" w:customStyle="1" w:styleId="22">
    <w:name w:val="页脚 字符"/>
    <w:basedOn w:val="13"/>
    <w:link w:val="8"/>
    <w:qFormat/>
    <w:uiPriority w:val="0"/>
    <w:rPr>
      <w:rFonts w:asciiTheme="minorHAnsi" w:hAnsiTheme="minorHAnsi" w:eastAsiaTheme="minorEastAsia" w:cstheme="minorBidi"/>
      <w:kern w:val="2"/>
      <w:sz w:val="18"/>
      <w:szCs w:val="24"/>
    </w:rPr>
  </w:style>
  <w:style w:type="character" w:customStyle="1" w:styleId="23">
    <w:name w:val="批注框文本 字符"/>
    <w:basedOn w:val="13"/>
    <w:link w:val="7"/>
    <w:qFormat/>
    <w:uiPriority w:val="0"/>
    <w:rPr>
      <w:rFonts w:asciiTheme="minorHAnsi" w:hAnsiTheme="minorHAnsi" w:eastAsiaTheme="minorEastAsia" w:cstheme="minorBidi"/>
      <w:kern w:val="2"/>
      <w:sz w:val="18"/>
      <w:szCs w:val="18"/>
    </w:rPr>
  </w:style>
  <w:style w:type="character" w:customStyle="1" w:styleId="24">
    <w:name w:val="批注文字 字符"/>
    <w:basedOn w:val="13"/>
    <w:link w:val="5"/>
    <w:qFormat/>
    <w:uiPriority w:val="0"/>
    <w:rPr>
      <w:rFonts w:asciiTheme="minorHAnsi" w:hAnsiTheme="minorHAnsi" w:eastAsiaTheme="minorEastAsia" w:cstheme="minorBidi"/>
      <w:kern w:val="2"/>
      <w:sz w:val="21"/>
      <w:szCs w:val="24"/>
    </w:rPr>
  </w:style>
  <w:style w:type="character" w:customStyle="1" w:styleId="25">
    <w:name w:val="批注主题 字符"/>
    <w:basedOn w:val="24"/>
    <w:link w:val="4"/>
    <w:qFormat/>
    <w:uiPriority w:val="0"/>
    <w:rPr>
      <w:rFonts w:asciiTheme="minorHAnsi" w:hAnsiTheme="minorHAnsi" w:eastAsiaTheme="minorEastAsia" w:cstheme="minorBidi"/>
      <w:b/>
      <w:bCs/>
      <w:kern w:val="2"/>
      <w:sz w:val="21"/>
      <w:szCs w:val="24"/>
    </w:rPr>
  </w:style>
  <w:style w:type="paragraph" w:customStyle="1" w:styleId="26">
    <w:name w:val="List Paragraph"/>
    <w:basedOn w:val="1"/>
    <w:unhideWhenUsed/>
    <w:qFormat/>
    <w:uiPriority w:val="99"/>
    <w:pPr>
      <w:ind w:firstLine="420" w:firstLineChars="200"/>
    </w:pPr>
  </w:style>
  <w:style w:type="character" w:customStyle="1" w:styleId="27">
    <w:name w:val="页眉 字符"/>
    <w:basedOn w:val="13"/>
    <w:link w:val="9"/>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649</Words>
  <Characters>3703</Characters>
  <Lines>30</Lines>
  <Paragraphs>8</Paragraphs>
  <ScaleCrop>false</ScaleCrop>
  <LinksUpToDate>false</LinksUpToDate>
  <CharactersWithSpaces>4344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2022-03-31T08:29:00Z</dcterms:created>
  <dc:creator>admin</dc:creator>
  <cp:lastModifiedBy>lenovo</cp:lastModifiedBy>
  <cp:lastPrinted>2022-03-26T09:41:00Z</cp:lastPrinted>
  <dcterms:modified xsi:type="dcterms:W3CDTF">2022-04-06T05:52:22Z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AF99989483E84E028411105ABF21A166</vt:lpwstr>
  </property>
</Properties>
</file>