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2B" w:rsidRDefault="0080322B" w:rsidP="0080322B">
      <w:pPr>
        <w:pStyle w:val="p"/>
        <w:shd w:val="clear" w:color="auto" w:fill="FAFAFA"/>
        <w:spacing w:before="0" w:beforeAutospacing="0" w:after="0" w:afterAutospacing="0"/>
        <w:jc w:val="center"/>
        <w:rPr>
          <w:rFonts w:ascii="Calibri" w:hAnsi="Calibri" w:cs="Calibri"/>
          <w:color w:val="121212"/>
          <w:sz w:val="22"/>
          <w:szCs w:val="22"/>
        </w:rPr>
      </w:pPr>
      <w:r>
        <w:rPr>
          <w:rFonts w:cs="Calibri" w:hint="eastAsia"/>
          <w:b/>
          <w:bCs/>
          <w:color w:val="000000"/>
          <w:sz w:val="44"/>
          <w:szCs w:val="44"/>
          <w:bdr w:val="none" w:sz="0" w:space="0" w:color="auto" w:frame="1"/>
        </w:rPr>
        <w:t>邓州市住房和城乡建设局2025-2026年</w:t>
      </w:r>
    </w:p>
    <w:p w:rsidR="0080322B" w:rsidRDefault="0080322B" w:rsidP="0080322B">
      <w:pPr>
        <w:pStyle w:val="p"/>
        <w:shd w:val="clear" w:color="auto" w:fill="FAFAFA"/>
        <w:spacing w:before="0" w:beforeAutospacing="0" w:after="0" w:afterAutospacing="0"/>
        <w:jc w:val="center"/>
        <w:rPr>
          <w:rFonts w:ascii="Calibri" w:hAnsi="Calibri" w:cs="Calibri"/>
          <w:color w:val="121212"/>
          <w:sz w:val="22"/>
          <w:szCs w:val="22"/>
        </w:rPr>
      </w:pPr>
      <w:r>
        <w:rPr>
          <w:rFonts w:cs="Calibri" w:hint="eastAsia"/>
          <w:b/>
          <w:bCs/>
          <w:color w:val="000000"/>
          <w:sz w:val="44"/>
          <w:szCs w:val="44"/>
          <w:bdr w:val="none" w:sz="0" w:space="0" w:color="auto" w:frame="1"/>
        </w:rPr>
        <w:t>地方政府债券存续期信息公开</w:t>
      </w:r>
    </w:p>
    <w:p w:rsidR="0080322B" w:rsidRDefault="0080322B" w:rsidP="0080322B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根据河南省财政厅《关于做好2024年地方政府债券存续期信息公开工作的通知》（豫财债管</w:t>
      </w:r>
      <w:r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〔</w:t>
      </w: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〕</w:t>
      </w: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7号），现将我单位2025-2026年发行的地方政府债券存续期相关信息公开如下</w:t>
      </w:r>
      <w:r>
        <w:rPr>
          <w:rFonts w:hint="eastAsia"/>
          <w:color w:val="656565"/>
          <w:sz w:val="32"/>
          <w:szCs w:val="32"/>
          <w:bdr w:val="none" w:sz="0" w:space="0" w:color="auto" w:frame="1"/>
          <w:shd w:val="clear" w:color="auto" w:fill="FFFFFF"/>
        </w:rPr>
        <w:t>：</w:t>
      </w:r>
    </w:p>
    <w:p w:rsidR="0080322B" w:rsidRDefault="0080322B" w:rsidP="0080322B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b/>
          <w:bCs/>
          <w:color w:val="000000"/>
          <w:sz w:val="32"/>
          <w:szCs w:val="32"/>
          <w:bdr w:val="none" w:sz="0" w:space="0" w:color="auto" w:frame="1"/>
          <w:shd w:val="clear" w:color="auto" w:fill="FAFAFA"/>
        </w:rPr>
        <w:t>一、债券资金总体情况</w:t>
      </w:r>
    </w:p>
    <w:p w:rsidR="0080322B" w:rsidRDefault="0080322B" w:rsidP="0080322B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121212"/>
          <w:sz w:val="22"/>
          <w:szCs w:val="22"/>
        </w:rPr>
      </w:pPr>
      <w:r w:rsidRPr="0080322B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邓州市2023年教育南路片区老旧小区改造提升工程</w:t>
      </w: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申请专项债券11000万元，债券期限15年，利率为</w:t>
      </w:r>
      <w:r w:rsidR="00B83C80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4</w:t>
      </w:r>
      <w:r w:rsidR="003F348A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.5</w:t>
      </w: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%，存续期半年付息一次，还本方式为第6-10年每年偿还本金的5%，11-15年每年偿还15%；</w:t>
      </w:r>
      <w:r w:rsidR="00B83C80" w:rsidRPr="00B83C80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邓州市2023年火车站周边老旧小区及基础设施改造提升工程</w:t>
      </w:r>
      <w:r w:rsidR="00B83C80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申请专项债券8500万元，债券期限15年，利率为4.5%，存续期半年付息一次，还本方式为第6-10年每年偿还本金的5%，11-15年每年偿还15%；</w:t>
      </w:r>
      <w:r>
        <w:rPr>
          <w:rFonts w:ascii="微软雅黑" w:eastAsia="微软雅黑" w:hAnsi="微软雅黑" w:hint="eastAsia"/>
          <w:color w:val="121212"/>
          <w:sz w:val="22"/>
          <w:szCs w:val="22"/>
        </w:rPr>
        <w:t xml:space="preserve"> </w:t>
      </w:r>
    </w:p>
    <w:p w:rsidR="0080322B" w:rsidRDefault="0080322B" w:rsidP="0080322B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b/>
          <w:bCs/>
          <w:color w:val="000000"/>
          <w:sz w:val="32"/>
          <w:szCs w:val="32"/>
          <w:bdr w:val="none" w:sz="0" w:space="0" w:color="auto" w:frame="1"/>
          <w:shd w:val="clear" w:color="auto" w:fill="FAFAFA"/>
        </w:rPr>
        <w:t>二、债券项目基本情况</w:t>
      </w:r>
    </w:p>
    <w:p w:rsidR="0080322B" w:rsidRDefault="0080322B" w:rsidP="0080322B">
      <w:pPr>
        <w:pStyle w:val="a5"/>
        <w:shd w:val="clear" w:color="auto" w:fill="FFFFFF"/>
        <w:spacing w:before="0" w:beforeAutospacing="0" w:after="0" w:afterAutospacing="0"/>
        <w:ind w:firstLine="643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b/>
          <w:bCs/>
          <w:color w:val="000000"/>
          <w:sz w:val="32"/>
          <w:szCs w:val="32"/>
          <w:bdr w:val="none" w:sz="0" w:space="0" w:color="auto" w:frame="1"/>
          <w:shd w:val="clear" w:color="auto" w:fill="FAFAFA"/>
        </w:rPr>
        <w:t>（一）、项目简介</w:t>
      </w:r>
    </w:p>
    <w:p w:rsidR="0080322B" w:rsidRDefault="0080322B" w:rsidP="0080322B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1、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邓州市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2023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年教育南路片区老旧小区提升改造项目，涉及老旧小区改造数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3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个，涉及户数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2690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户，涉及建筑面积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31.18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万平方米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;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根据现场勘查和设计，本项目主要改造内容包括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: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雨污水，强弱电，自来水，燃气，监控，路面硬化，机动车停车位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390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处，充电桩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390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处，电动车棚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960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平方米配套充电设施，外墙粉刷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(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区分清水砖墙，砂浆墙面，瓷砖墙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lastRenderedPageBreak/>
        <w:t>面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)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内墙粉刷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(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区分墙面天棚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)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，门窗更换，护窗除锈刷漆，无障碍，及养老抚幼设施，健身器材等。</w:t>
      </w:r>
    </w:p>
    <w:p w:rsidR="0080322B" w:rsidRDefault="00437B74" w:rsidP="00437B74">
      <w:pPr>
        <w:pStyle w:val="a5"/>
        <w:shd w:val="clear" w:color="auto" w:fill="FFFFFF"/>
        <w:ind w:firstLine="640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2</w:t>
      </w:r>
      <w:r w:rsidR="0080322B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、</w:t>
      </w:r>
      <w:r w:rsidR="009B652F" w:rsidRPr="00B83C80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邓州市2023年火车站周边老旧小区及基础设施改造提升工程</w:t>
      </w:r>
      <w:r w:rsidRPr="00437B74">
        <w:rPr>
          <w:rFonts w:hint="eastAsia"/>
          <w:color w:val="121212"/>
          <w:sz w:val="32"/>
          <w:szCs w:val="32"/>
          <w:bdr w:val="none" w:sz="0" w:space="0" w:color="auto" w:frame="1"/>
        </w:rPr>
        <w:t>北至新华路，南至人民路南侧160 米，东至交通路，西至铁西路西200 米处。共3 个地块，分别为A 地块、B 地块、C 地块，涉及3256 户，涉及总建筑面积854000.00 平方米。</w:t>
      </w:r>
      <w:r w:rsidR="009B652F" w:rsidRPr="009B652F">
        <w:rPr>
          <w:rFonts w:hint="eastAsia"/>
          <w:color w:val="121212"/>
          <w:sz w:val="32"/>
          <w:szCs w:val="32"/>
          <w:bdr w:val="none" w:sz="0" w:space="0" w:color="auto" w:frame="1"/>
        </w:rPr>
        <w:t>三个地块各改造养老扶幼活动中心，每座建筑面积150m2。本次提升改造不涉及违章建筑拆除工作。主要建设内容为内外墙粉刷、护窗除锈刷漆、监控、路面硬化、雨污水、强弱电、给水、燃气、机动车停车位，配套充电设施，购置养老</w:t>
      </w:r>
      <w:r w:rsidR="009B652F">
        <w:rPr>
          <w:rFonts w:hint="eastAsia"/>
          <w:color w:val="121212"/>
          <w:sz w:val="32"/>
          <w:szCs w:val="32"/>
          <w:bdr w:val="none" w:sz="0" w:space="0" w:color="auto" w:frame="1"/>
        </w:rPr>
        <w:t>养老</w:t>
      </w:r>
      <w:r w:rsidR="009B652F" w:rsidRPr="009B652F">
        <w:rPr>
          <w:rFonts w:hint="eastAsia"/>
          <w:color w:val="121212"/>
          <w:sz w:val="32"/>
          <w:szCs w:val="32"/>
          <w:bdr w:val="none" w:sz="0" w:space="0" w:color="auto" w:frame="1"/>
        </w:rPr>
        <w:t>扶幼设施、健身器材等。</w:t>
      </w:r>
    </w:p>
    <w:p w:rsidR="0080322B" w:rsidRDefault="0080322B" w:rsidP="0080322B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b/>
          <w:bCs/>
          <w:color w:val="000000"/>
          <w:sz w:val="32"/>
          <w:szCs w:val="32"/>
          <w:bdr w:val="none" w:sz="0" w:space="0" w:color="auto" w:frame="1"/>
          <w:shd w:val="clear" w:color="auto" w:fill="FAFAFA"/>
        </w:rPr>
        <w:t>（二）、项目实施进度</w:t>
      </w:r>
    </w:p>
    <w:p w:rsidR="0080322B" w:rsidRDefault="0080322B" w:rsidP="0080322B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1、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邓州市</w:t>
      </w:r>
      <w:r>
        <w:rPr>
          <w:rFonts w:ascii="Calibri" w:hAnsi="Calibri" w:cs="Calibri" w:hint="eastAsia"/>
          <w:color w:val="121212"/>
          <w:sz w:val="32"/>
          <w:szCs w:val="32"/>
          <w:bdr w:val="none" w:sz="0" w:space="0" w:color="auto" w:frame="1"/>
        </w:rPr>
        <w:t>2023</w:t>
      </w:r>
      <w:r>
        <w:rPr>
          <w:rFonts w:hint="eastAsia"/>
          <w:color w:val="121212"/>
          <w:sz w:val="32"/>
          <w:szCs w:val="32"/>
          <w:bdr w:val="none" w:sz="0" w:space="0" w:color="auto" w:frame="1"/>
        </w:rPr>
        <w:t>年教育南路片区老旧小区提升改造项目正在有序推进中。</w:t>
      </w:r>
    </w:p>
    <w:p w:rsidR="0080322B" w:rsidRDefault="009B652F" w:rsidP="0080322B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121212"/>
          <w:sz w:val="22"/>
          <w:szCs w:val="22"/>
        </w:rPr>
      </w:pPr>
      <w:r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2</w:t>
      </w:r>
      <w:r w:rsidR="0080322B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、</w:t>
      </w:r>
      <w:r w:rsidRPr="00B83C80">
        <w:rPr>
          <w:rFonts w:hint="eastAsia"/>
          <w:color w:val="000000"/>
          <w:sz w:val="32"/>
          <w:szCs w:val="32"/>
          <w:bdr w:val="none" w:sz="0" w:space="0" w:color="auto" w:frame="1"/>
          <w:shd w:val="clear" w:color="auto" w:fill="FAFAFA"/>
        </w:rPr>
        <w:t>邓州市2023年火车站周边老旧小区及基础设施改造提升工程</w:t>
      </w:r>
      <w:r w:rsidR="0080322B">
        <w:rPr>
          <w:rFonts w:hint="eastAsia"/>
          <w:color w:val="121212"/>
          <w:sz w:val="32"/>
          <w:szCs w:val="32"/>
          <w:bdr w:val="none" w:sz="0" w:space="0" w:color="auto" w:frame="1"/>
        </w:rPr>
        <w:t>正在有序推进中。</w:t>
      </w:r>
    </w:p>
    <w:sectPr w:rsidR="0080322B" w:rsidSect="00EF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33E" w:rsidRDefault="0027033E" w:rsidP="0080322B">
      <w:r>
        <w:separator/>
      </w:r>
    </w:p>
  </w:endnote>
  <w:endnote w:type="continuationSeparator" w:id="1">
    <w:p w:rsidR="0027033E" w:rsidRDefault="0027033E" w:rsidP="00803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33E" w:rsidRDefault="0027033E" w:rsidP="0080322B">
      <w:r>
        <w:separator/>
      </w:r>
    </w:p>
  </w:footnote>
  <w:footnote w:type="continuationSeparator" w:id="1">
    <w:p w:rsidR="0027033E" w:rsidRDefault="0027033E" w:rsidP="00803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22B"/>
    <w:rsid w:val="0027033E"/>
    <w:rsid w:val="003F348A"/>
    <w:rsid w:val="00437B74"/>
    <w:rsid w:val="0080322B"/>
    <w:rsid w:val="009B652F"/>
    <w:rsid w:val="00B83C80"/>
    <w:rsid w:val="00D70131"/>
    <w:rsid w:val="00EF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2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22B"/>
    <w:rPr>
      <w:sz w:val="18"/>
      <w:szCs w:val="18"/>
    </w:rPr>
  </w:style>
  <w:style w:type="paragraph" w:customStyle="1" w:styleId="p">
    <w:name w:val="p"/>
    <w:basedOn w:val="a"/>
    <w:rsid w:val="008032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8032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134</Words>
  <Characters>765</Characters>
  <Application>Microsoft Office Word</Application>
  <DocSecurity>0</DocSecurity>
  <Lines>6</Lines>
  <Paragraphs>1</Paragraphs>
  <ScaleCrop>false</ScaleCrop>
  <Company>Organization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2026-06-08T06:47:00Z</dcterms:created>
  <dcterms:modified xsi:type="dcterms:W3CDTF">2026-06-09T00:36:00Z</dcterms:modified>
</cp:coreProperties>
</file>